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EA52D" w14:textId="72EEC86F" w:rsidR="00CA3E11" w:rsidRDefault="00CA3E11" w:rsidP="00CA3E11">
      <w:pPr>
        <w:pStyle w:val="Title"/>
        <w:rPr>
          <w:rFonts w:asciiTheme="minorHAnsi" w:hAnsiTheme="minorHAnsi"/>
        </w:rPr>
      </w:pPr>
      <w:r w:rsidRPr="00CA3E11">
        <w:rPr>
          <w:rFonts w:asciiTheme="minorHAnsi" w:hAnsiTheme="minorHAnsi"/>
        </w:rPr>
        <w:t>A Process for Academic Reorganization</w:t>
      </w:r>
    </w:p>
    <w:p w14:paraId="57038D62" w14:textId="77777777" w:rsidR="00CA3E11" w:rsidRDefault="00CA3E11" w:rsidP="00CA3E11">
      <w:pPr>
        <w:pStyle w:val="Subtitle"/>
      </w:pPr>
    </w:p>
    <w:p w14:paraId="3E53C0DE" w14:textId="77777777" w:rsidR="00CA3E11" w:rsidRDefault="00CA3E11" w:rsidP="00CA3E11">
      <w:pPr>
        <w:pStyle w:val="Subtitle"/>
      </w:pPr>
      <w:r>
        <w:t>A Faculty Senate Process Task Force Proposal</w:t>
      </w:r>
    </w:p>
    <w:p w14:paraId="5A901958" w14:textId="20448E1E" w:rsidR="001E5F96" w:rsidRPr="00CA3E11" w:rsidRDefault="001E5F96" w:rsidP="001E5F96">
      <w:pPr>
        <w:pStyle w:val="Subtitle"/>
      </w:pPr>
      <w:r>
        <w:t xml:space="preserve">Draft: </w:t>
      </w:r>
      <w:r w:rsidR="00CA3E11">
        <w:t>December 6, 2016</w:t>
      </w:r>
      <w:r>
        <w:br/>
        <w:t>Revised: January 17, 2017</w:t>
      </w:r>
    </w:p>
    <w:p w14:paraId="5479AA88" w14:textId="010CD737" w:rsidR="001E5F96" w:rsidRPr="001E5F96" w:rsidRDefault="001E5F96" w:rsidP="004968A0">
      <w:pPr>
        <w:rPr>
          <w:i/>
          <w:iCs/>
          <w:color w:val="404040" w:themeColor="text1" w:themeTint="BF"/>
        </w:rPr>
      </w:pPr>
      <w:r w:rsidRPr="009D0C8A">
        <w:rPr>
          <w:rStyle w:val="SubtleEmphasis"/>
        </w:rPr>
        <w:t>This process aims to adhere to the following statement by the American Association of University Professors (AAUP): “Effective planning demands that the broadest possible exchange of information and opinion should be the rule for communication among the components of a college or university.”</w:t>
      </w:r>
      <w:r>
        <w:rPr>
          <w:rStyle w:val="FootnoteReference"/>
          <w:i/>
          <w:iCs/>
          <w:color w:val="404040" w:themeColor="text1" w:themeTint="BF"/>
        </w:rPr>
        <w:footnoteReference w:id="1"/>
      </w:r>
    </w:p>
    <w:p w14:paraId="22592811" w14:textId="06FDB4C7" w:rsidR="00D41D9F" w:rsidRPr="008E6DCF" w:rsidRDefault="00367FE5" w:rsidP="008E6DCF">
      <w:pPr>
        <w:pStyle w:val="Heading1"/>
        <w:rPr>
          <w:rStyle w:val="Strong"/>
          <w:b w:val="0"/>
        </w:rPr>
      </w:pPr>
      <w:r w:rsidRPr="008E6DCF">
        <w:rPr>
          <w:rStyle w:val="Strong"/>
          <w:b w:val="0"/>
        </w:rPr>
        <w:t>Process A: Faculty Impetus for Reorganization</w:t>
      </w:r>
    </w:p>
    <w:p w14:paraId="61261417" w14:textId="3A581886" w:rsidR="00D41D9F" w:rsidRDefault="00D41D9F" w:rsidP="00D41D9F">
      <w:pPr>
        <w:rPr>
          <w:rStyle w:val="Strong"/>
          <w:b w:val="0"/>
        </w:rPr>
      </w:pPr>
      <w:r>
        <w:rPr>
          <w:rStyle w:val="Strong"/>
          <w:b w:val="0"/>
        </w:rPr>
        <w:t>This process describes how faculty can build consensus and provide</w:t>
      </w:r>
      <w:r w:rsidR="00D3755F">
        <w:rPr>
          <w:rStyle w:val="Strong"/>
          <w:b w:val="0"/>
        </w:rPr>
        <w:t xml:space="preserve"> preliminary</w:t>
      </w:r>
      <w:r>
        <w:rPr>
          <w:rStyle w:val="Strong"/>
          <w:b w:val="0"/>
        </w:rPr>
        <w:t xml:space="preserve"> evidence for a reorganization before introducing the idea to the Chancellor.</w:t>
      </w:r>
      <w:r w:rsidR="008E6DCF">
        <w:rPr>
          <w:rStyle w:val="Strong"/>
          <w:b w:val="0"/>
        </w:rPr>
        <w:t xml:space="preserve"> The intention is that this process would only be used if an idea for reorganization developed organically among faculty.</w:t>
      </w:r>
    </w:p>
    <w:p w14:paraId="638F3133" w14:textId="77777777" w:rsidR="00D41D9F" w:rsidRPr="00D41D9F" w:rsidRDefault="00D41D9F" w:rsidP="00D41D9F">
      <w:pPr>
        <w:rPr>
          <w:rStyle w:val="SubtleReference"/>
          <w:bCs/>
          <w:smallCaps w:val="0"/>
          <w:color w:val="auto"/>
        </w:rPr>
      </w:pPr>
    </w:p>
    <w:p w14:paraId="4798BB8D" w14:textId="25EC1489" w:rsidR="00CA3E11" w:rsidRPr="00CA3E11" w:rsidRDefault="00CA3E11" w:rsidP="00CA3E11">
      <w:pPr>
        <w:numPr>
          <w:ilvl w:val="0"/>
          <w:numId w:val="23"/>
        </w:numPr>
        <w:ind w:left="360"/>
      </w:pPr>
      <w:r w:rsidRPr="00CA3E11">
        <w:t xml:space="preserve">The initiating faculty </w:t>
      </w:r>
      <w:r w:rsidR="0036716C">
        <w:t>should</w:t>
      </w:r>
      <w:r w:rsidRPr="00CA3E11">
        <w:t xml:space="preserve"> come from an affected unit.</w:t>
      </w:r>
    </w:p>
    <w:p w14:paraId="495FD934" w14:textId="1E99109E" w:rsidR="00CA3E11" w:rsidRPr="00CA3E11" w:rsidRDefault="00CA3E11" w:rsidP="00CA3E11">
      <w:pPr>
        <w:numPr>
          <w:ilvl w:val="1"/>
          <w:numId w:val="23"/>
        </w:numPr>
      </w:pPr>
      <w:r w:rsidRPr="00CA3E11">
        <w:t xml:space="preserve">If a proposal for reorganization would affect more than one unit, the initiating faculty must obtain </w:t>
      </w:r>
      <w:r w:rsidR="00A55E2D">
        <w:t>assent</w:t>
      </w:r>
      <w:r w:rsidRPr="00CA3E11">
        <w:t xml:space="preserve"> from faculty from each affected unit.</w:t>
      </w:r>
    </w:p>
    <w:p w14:paraId="7D1C7694" w14:textId="5F728DF9" w:rsidR="00CA3E11" w:rsidRPr="00CA3E11" w:rsidRDefault="00CA3E11" w:rsidP="00CA3E11">
      <w:pPr>
        <w:numPr>
          <w:ilvl w:val="1"/>
          <w:numId w:val="23"/>
        </w:numPr>
      </w:pPr>
      <w:r w:rsidRPr="00CA3E11">
        <w:t>I</w:t>
      </w:r>
      <w:r w:rsidR="0036716C">
        <w:t>nitiating faculty</w:t>
      </w:r>
      <w:r w:rsidRPr="00CA3E11">
        <w:t xml:space="preserve"> from outside an affected unit must obtain </w:t>
      </w:r>
      <w:r w:rsidR="00A55E2D">
        <w:t>assent</w:t>
      </w:r>
      <w:r w:rsidRPr="00CA3E11">
        <w:t xml:space="preserve"> from faculty </w:t>
      </w:r>
      <w:r w:rsidR="0036716C">
        <w:t xml:space="preserve">from </w:t>
      </w:r>
      <w:r w:rsidRPr="00CA3E11">
        <w:t>each affected unit.</w:t>
      </w:r>
      <w:r w:rsidR="0036716C">
        <w:t xml:space="preserve"> </w:t>
      </w:r>
    </w:p>
    <w:p w14:paraId="47FE1209" w14:textId="27D69EE7" w:rsidR="00CA3E11" w:rsidRPr="00CA3E11" w:rsidRDefault="00CA3E11" w:rsidP="00CA3E11">
      <w:pPr>
        <w:numPr>
          <w:ilvl w:val="1"/>
          <w:numId w:val="23"/>
        </w:numPr>
      </w:pPr>
      <w:r w:rsidRPr="00CA3E11">
        <w:t xml:space="preserve">Initiating faculty </w:t>
      </w:r>
      <w:r w:rsidR="0036716C">
        <w:t xml:space="preserve">from affected units shall </w:t>
      </w:r>
      <w:r w:rsidRPr="00CA3E11">
        <w:t>heretofore</w:t>
      </w:r>
      <w:r w:rsidR="0036716C">
        <w:t xml:space="preserve"> be</w:t>
      </w:r>
      <w:r w:rsidRPr="00CA3E11">
        <w:t xml:space="preserve"> called "the Initiators." </w:t>
      </w:r>
    </w:p>
    <w:p w14:paraId="7906D049" w14:textId="48DCD6DD" w:rsidR="00CA3E11" w:rsidRPr="00CA3E11" w:rsidRDefault="00CA3E11" w:rsidP="00CA3E11">
      <w:pPr>
        <w:numPr>
          <w:ilvl w:val="0"/>
          <w:numId w:val="23"/>
        </w:numPr>
        <w:ind w:left="360"/>
      </w:pPr>
      <w:r w:rsidRPr="00CA3E11">
        <w:t>The Initiators request to speak to their respective faculty governance groups (an age</w:t>
      </w:r>
      <w:r w:rsidR="0036716C">
        <w:t>nda item for a regular meeting) in accordance with the bylaws of their respective units.</w:t>
      </w:r>
    </w:p>
    <w:p w14:paraId="15718BBD" w14:textId="0E88B31E" w:rsidR="00CA3E11" w:rsidRPr="00CA3E11" w:rsidRDefault="00CA3E11" w:rsidP="00CA3E11">
      <w:pPr>
        <w:numPr>
          <w:ilvl w:val="1"/>
          <w:numId w:val="23"/>
        </w:numPr>
      </w:pPr>
      <w:bookmarkStart w:id="0" w:name="_Ref471917868"/>
      <w:r w:rsidRPr="00CA3E11">
        <w:t xml:space="preserve">During the </w:t>
      </w:r>
      <w:r w:rsidR="0036716C">
        <w:t>respective unit faculty</w:t>
      </w:r>
      <w:r w:rsidRPr="00CA3E11">
        <w:t xml:space="preserve"> meeting</w:t>
      </w:r>
      <w:r w:rsidR="0036716C">
        <w:t>s</w:t>
      </w:r>
      <w:r w:rsidRPr="00CA3E11">
        <w:t>, the faculty engage in a discussion</w:t>
      </w:r>
      <w:r w:rsidR="00934A42">
        <w:t xml:space="preserve"> on the proposed reorganization.</w:t>
      </w:r>
      <w:r w:rsidRPr="00CA3E11">
        <w:t xml:space="preserve"> </w:t>
      </w:r>
      <w:bookmarkEnd w:id="0"/>
    </w:p>
    <w:p w14:paraId="400A9805" w14:textId="34473A5D" w:rsidR="00CA3E11" w:rsidRDefault="00CA3E11" w:rsidP="00CA3E11">
      <w:pPr>
        <w:numPr>
          <w:ilvl w:val="1"/>
          <w:numId w:val="23"/>
        </w:numPr>
      </w:pPr>
      <w:bookmarkStart w:id="1" w:name="_Ref471918117"/>
      <w:r w:rsidRPr="00CA3E11">
        <w:t xml:space="preserve">Each affected unit's faculty governance group </w:t>
      </w:r>
      <w:r w:rsidR="00934A42">
        <w:t xml:space="preserve">should submit a statement on the proposed reorganization to their Dean and the Deans of other affected units. </w:t>
      </w:r>
      <w:bookmarkEnd w:id="1"/>
    </w:p>
    <w:p w14:paraId="54326CB9" w14:textId="2E7F0B4C" w:rsidR="00CA3E11" w:rsidRPr="00CA3E11" w:rsidRDefault="00934A42" w:rsidP="00CA3E11">
      <w:pPr>
        <w:numPr>
          <w:ilvl w:val="0"/>
          <w:numId w:val="23"/>
        </w:numPr>
        <w:ind w:left="360"/>
      </w:pPr>
      <w:bookmarkStart w:id="2" w:name="_Ref471989321"/>
      <w:r>
        <w:t>After receiving statements from each affected unit’s faculty governance group, the Deans of affected units should issue individual statements on the proposed reorganization in reply to each faculty governance group’s statement.</w:t>
      </w:r>
      <w:r w:rsidR="00D3755F">
        <w:t xml:space="preserve"> </w:t>
      </w:r>
      <w:bookmarkEnd w:id="2"/>
    </w:p>
    <w:p w14:paraId="2D81D93D" w14:textId="387C9098" w:rsidR="00CA3E11" w:rsidRPr="00CA3E11" w:rsidRDefault="00934A42" w:rsidP="00CA3E11">
      <w:pPr>
        <w:numPr>
          <w:ilvl w:val="1"/>
          <w:numId w:val="23"/>
        </w:numPr>
      </w:pPr>
      <w:bookmarkStart w:id="3" w:name="_Ref472428014"/>
      <w:bookmarkStart w:id="4" w:name="_Ref472428397"/>
      <w:r>
        <w:t>All statements from the Deans and the faculty governance groups should be shared with the Faculty Senate.</w:t>
      </w:r>
      <w:bookmarkEnd w:id="3"/>
      <w:bookmarkEnd w:id="4"/>
    </w:p>
    <w:p w14:paraId="6977BF71" w14:textId="2E769E15" w:rsidR="00CA3E11" w:rsidRPr="00CA3E11" w:rsidRDefault="002C7C16" w:rsidP="00CA3E11">
      <w:pPr>
        <w:numPr>
          <w:ilvl w:val="1"/>
          <w:numId w:val="23"/>
        </w:numPr>
      </w:pPr>
      <w:bookmarkStart w:id="5" w:name="_Ref471989437"/>
      <w:r>
        <w:lastRenderedPageBreak/>
        <w:t>The Faculty Senate review</w:t>
      </w:r>
      <w:r w:rsidR="00934A42">
        <w:t>s</w:t>
      </w:r>
      <w:r>
        <w:t xml:space="preserve"> the </w:t>
      </w:r>
      <w:r w:rsidR="00934A42">
        <w:t>statements</w:t>
      </w:r>
      <w:r w:rsidR="00D3755F">
        <w:t xml:space="preserve"> from the affected units’ Deans and faculty governance groups</w:t>
      </w:r>
      <w:r w:rsidR="00CA3E11" w:rsidRPr="00CA3E11">
        <w:t>.</w:t>
      </w:r>
      <w:bookmarkEnd w:id="5"/>
    </w:p>
    <w:p w14:paraId="1AE6426A" w14:textId="2D52609C" w:rsidR="00CA3E11" w:rsidRDefault="00CA3E11" w:rsidP="00CA3E11">
      <w:pPr>
        <w:numPr>
          <w:ilvl w:val="1"/>
          <w:numId w:val="23"/>
        </w:numPr>
      </w:pPr>
      <w:bookmarkStart w:id="6" w:name="_Ref471989541"/>
      <w:r w:rsidRPr="00CA3E11">
        <w:t>The Faculty Senate makes an</w:t>
      </w:r>
      <w:r w:rsidR="00864430">
        <w:t xml:space="preserve"> </w:t>
      </w:r>
      <w:r w:rsidRPr="00CA3E11">
        <w:t>advisory vote to</w:t>
      </w:r>
      <w:r w:rsidR="00D3755F">
        <w:t xml:space="preserve"> endorse or rebut the proposed reorganization</w:t>
      </w:r>
      <w:r w:rsidRPr="00CA3E11">
        <w:t xml:space="preserve"> and provide</w:t>
      </w:r>
      <w:r w:rsidR="002C7C16">
        <w:t xml:space="preserve">s its feedback, along with the </w:t>
      </w:r>
      <w:r w:rsidRPr="00CA3E11">
        <w:t>report, to the Provost.</w:t>
      </w:r>
      <w:bookmarkEnd w:id="6"/>
    </w:p>
    <w:p w14:paraId="5EBE56FF" w14:textId="20359188" w:rsidR="009335B1" w:rsidRPr="00CA3E11" w:rsidRDefault="009335B1" w:rsidP="009335B1">
      <w:pPr>
        <w:numPr>
          <w:ilvl w:val="1"/>
          <w:numId w:val="23"/>
        </w:numPr>
      </w:pPr>
      <w:r w:rsidRPr="00CA3E11">
        <w:t>The Faculty Senate may choose to delay the advisory vote</w:t>
      </w:r>
      <w:r>
        <w:t xml:space="preserve"> in order to gather additional information from the faculty governance groups and/or Deans of affected units. </w:t>
      </w:r>
      <w:r w:rsidRPr="00CA3E11">
        <w:t xml:space="preserve">The Faculty Senate must provide a deadline in order to review </w:t>
      </w:r>
      <w:r>
        <w:t xml:space="preserve">any additional information provided </w:t>
      </w:r>
      <w:r w:rsidRPr="00CA3E11">
        <w:t>and make an advisory vote.</w:t>
      </w:r>
    </w:p>
    <w:p w14:paraId="0E8E95AE" w14:textId="661E3790" w:rsidR="00CA3E11" w:rsidRDefault="00CA3E11" w:rsidP="00CA3E11">
      <w:pPr>
        <w:numPr>
          <w:ilvl w:val="0"/>
          <w:numId w:val="23"/>
        </w:numPr>
        <w:ind w:left="360"/>
      </w:pPr>
      <w:bookmarkStart w:id="7" w:name="_Ref471990137"/>
      <w:r w:rsidRPr="00CA3E11">
        <w:t>The Provost pro</w:t>
      </w:r>
      <w:r w:rsidR="002C7C16">
        <w:t xml:space="preserve">vides feedback, along with </w:t>
      </w:r>
      <w:r w:rsidR="00D3755F">
        <w:t>all of the accumulated statements from affected units and the Faculty Senate</w:t>
      </w:r>
      <w:r w:rsidRPr="00CA3E11">
        <w:t>, to the Chancellor for final determination.</w:t>
      </w:r>
      <w:r w:rsidR="00367FE5">
        <w:t xml:space="preserve"> If the Chancellor decides to proceed with reorganization, the recommended steps are discussed in </w:t>
      </w:r>
      <w:r w:rsidR="0011042D">
        <w:t>“</w:t>
      </w:r>
      <w:r w:rsidR="00367FE5">
        <w:t>Process B</w:t>
      </w:r>
      <w:r w:rsidR="0011042D">
        <w:t>”</w:t>
      </w:r>
      <w:r w:rsidR="00367FE5">
        <w:t xml:space="preserve"> below.</w:t>
      </w:r>
      <w:bookmarkEnd w:id="7"/>
    </w:p>
    <w:p w14:paraId="0F10FE65" w14:textId="77777777" w:rsidR="00CA3E11" w:rsidRDefault="00CA3E11" w:rsidP="00CA3E11"/>
    <w:p w14:paraId="19FC156D" w14:textId="77777777" w:rsidR="00CA3E11" w:rsidRDefault="00CA3E11" w:rsidP="00CA3E11"/>
    <w:p w14:paraId="76CEBAEE" w14:textId="0A342691" w:rsidR="00CA3E11" w:rsidRPr="008E6DCF" w:rsidRDefault="00367FE5" w:rsidP="008E6DCF">
      <w:pPr>
        <w:pStyle w:val="Heading1"/>
        <w:rPr>
          <w:rStyle w:val="Strong"/>
          <w:b w:val="0"/>
        </w:rPr>
      </w:pPr>
      <w:r w:rsidRPr="008E6DCF">
        <w:rPr>
          <w:rStyle w:val="Strong"/>
          <w:b w:val="0"/>
        </w:rPr>
        <w:t>Process B: Chancellor Impetus for Reorganization</w:t>
      </w:r>
    </w:p>
    <w:p w14:paraId="73E62F79" w14:textId="3146F65F" w:rsidR="00CA3E11" w:rsidRDefault="00CA3E11" w:rsidP="00CA3E11">
      <w:pPr>
        <w:pStyle w:val="ListParagraph"/>
        <w:numPr>
          <w:ilvl w:val="0"/>
          <w:numId w:val="25"/>
        </w:numPr>
      </w:pPr>
      <w:r>
        <w:t>The</w:t>
      </w:r>
      <w:r w:rsidR="00A55E2D">
        <w:t xml:space="preserve"> formal</w:t>
      </w:r>
      <w:r w:rsidR="00864430">
        <w:t xml:space="preserve"> </w:t>
      </w:r>
      <w:r>
        <w:t>impetus to reorganize a school should come from the Chancell</w:t>
      </w:r>
      <w:r w:rsidR="00B47406">
        <w:t>or, with input from the Provost</w:t>
      </w:r>
      <w:r w:rsidR="00A55E2D">
        <w:t>,</w:t>
      </w:r>
      <w:r w:rsidR="00B47406">
        <w:t xml:space="preserve"> or</w:t>
      </w:r>
      <w:r w:rsidR="00864430">
        <w:t xml:space="preserve"> as a result of faculty impetus process described in </w:t>
      </w:r>
      <w:r w:rsidR="0011042D">
        <w:t>“Process A” above.</w:t>
      </w:r>
    </w:p>
    <w:p w14:paraId="5763CBAC" w14:textId="0BBF52D2" w:rsidR="00B47406" w:rsidRDefault="00275E8B" w:rsidP="00CA3E11">
      <w:pPr>
        <w:pStyle w:val="ListParagraph"/>
        <w:numPr>
          <w:ilvl w:val="0"/>
          <w:numId w:val="25"/>
        </w:numPr>
      </w:pPr>
      <w:bookmarkStart w:id="8" w:name="_Ref471990328"/>
      <w:r>
        <w:t>The Chancellor and Provost appoint a Reorganization Study Committee of k</w:t>
      </w:r>
      <w:r w:rsidR="00CA3E11">
        <w:t>ey stakeholders</w:t>
      </w:r>
      <w:r>
        <w:t xml:space="preserve"> which includes:</w:t>
      </w:r>
      <w:bookmarkEnd w:id="8"/>
      <w:r w:rsidR="00CA3E11">
        <w:t xml:space="preserve"> </w:t>
      </w:r>
    </w:p>
    <w:p w14:paraId="60B82E44" w14:textId="571827A6" w:rsidR="00CA3E11" w:rsidRDefault="00B47406" w:rsidP="00B47406">
      <w:pPr>
        <w:pStyle w:val="ListParagraph"/>
        <w:numPr>
          <w:ilvl w:val="1"/>
          <w:numId w:val="25"/>
        </w:numPr>
      </w:pPr>
      <w:r>
        <w:t>The Chancellor and Provost</w:t>
      </w:r>
      <w:r w:rsidR="008D3345">
        <w:t xml:space="preserve"> (ex-officio)</w:t>
      </w:r>
      <w:r>
        <w:t>.</w:t>
      </w:r>
    </w:p>
    <w:p w14:paraId="14D3C38B" w14:textId="77777777" w:rsidR="00CA3E11" w:rsidRDefault="00CA3E11" w:rsidP="00CA3E11">
      <w:pPr>
        <w:pStyle w:val="ListParagraph"/>
        <w:numPr>
          <w:ilvl w:val="1"/>
          <w:numId w:val="25"/>
        </w:numPr>
      </w:pPr>
      <w:r>
        <w:t xml:space="preserve">The Deans of affected units, and potentially Deans from units that have research and teaching partnerships with affected units. </w:t>
      </w:r>
    </w:p>
    <w:p w14:paraId="71EF7FB5" w14:textId="7BCA4B80" w:rsidR="00B47406" w:rsidRDefault="00275E8B" w:rsidP="00B47406">
      <w:pPr>
        <w:pStyle w:val="ListParagraph"/>
        <w:numPr>
          <w:ilvl w:val="1"/>
          <w:numId w:val="25"/>
        </w:numPr>
      </w:pPr>
      <w:r>
        <w:t>Representatives from k</w:t>
      </w:r>
      <w:r w:rsidR="00CA3E11">
        <w:t>ey faculty governance bodies, including Faculty Senate</w:t>
      </w:r>
      <w:r w:rsidR="00B47406">
        <w:t xml:space="preserve"> and </w:t>
      </w:r>
      <w:r w:rsidR="00CA3E11">
        <w:t>the elected faculty lea</w:t>
      </w:r>
      <w:r w:rsidR="00B47406">
        <w:t>dership from affected units.</w:t>
      </w:r>
    </w:p>
    <w:p w14:paraId="1EF2E4A4" w14:textId="177CDBAA" w:rsidR="00CA3E11" w:rsidRDefault="0011042D" w:rsidP="00CA3E11">
      <w:pPr>
        <w:pStyle w:val="ListParagraph"/>
        <w:numPr>
          <w:ilvl w:val="1"/>
          <w:numId w:val="25"/>
        </w:numPr>
      </w:pPr>
      <w:r>
        <w:t xml:space="preserve">The affected units’ </w:t>
      </w:r>
      <w:r w:rsidR="00CA3E11">
        <w:t>Budget Committees.</w:t>
      </w:r>
    </w:p>
    <w:p w14:paraId="673A1E6C" w14:textId="77777777" w:rsidR="00CA3E11" w:rsidRDefault="00CA3E11" w:rsidP="00CA3E11">
      <w:pPr>
        <w:pStyle w:val="ListParagraph"/>
        <w:numPr>
          <w:ilvl w:val="1"/>
          <w:numId w:val="25"/>
        </w:numPr>
      </w:pPr>
      <w:r>
        <w:t>The University Budget Committee, with input from the Faculty Senate Budget Committee.</w:t>
      </w:r>
    </w:p>
    <w:p w14:paraId="5D002C5B" w14:textId="15D13342" w:rsidR="00E728D1" w:rsidRDefault="00E728D1" w:rsidP="00CA3E11">
      <w:pPr>
        <w:pStyle w:val="ListParagraph"/>
        <w:numPr>
          <w:ilvl w:val="0"/>
          <w:numId w:val="25"/>
        </w:numPr>
      </w:pPr>
      <w:bookmarkStart w:id="9" w:name="_GoBack"/>
      <w:bookmarkEnd w:id="9"/>
      <w:r>
        <w:t xml:space="preserve">The Reorganization Study Committee should </w:t>
      </w:r>
      <w:r w:rsidR="00CD0A8A">
        <w:t>collect appropriate data.</w:t>
      </w:r>
    </w:p>
    <w:p w14:paraId="08E0E7D7" w14:textId="2C03C753" w:rsidR="00823F74" w:rsidRDefault="00823F74" w:rsidP="00823F74">
      <w:pPr>
        <w:pStyle w:val="ListParagraph"/>
        <w:numPr>
          <w:ilvl w:val="1"/>
          <w:numId w:val="25"/>
        </w:numPr>
      </w:pPr>
      <w:r>
        <w:t xml:space="preserve">The data gathered should </w:t>
      </w:r>
      <w:r w:rsidR="00081D79">
        <w:t>be sufficient to determine important factors, such as</w:t>
      </w:r>
      <w:r w:rsidR="0011042D">
        <w:t xml:space="preserve"> (but not limited to)</w:t>
      </w:r>
      <w:r>
        <w:t>:</w:t>
      </w:r>
    </w:p>
    <w:p w14:paraId="67178441" w14:textId="02361808" w:rsidR="00367FE5" w:rsidRDefault="00367FE5" w:rsidP="00823F74">
      <w:pPr>
        <w:pStyle w:val="ListParagraph"/>
        <w:numPr>
          <w:ilvl w:val="2"/>
          <w:numId w:val="25"/>
        </w:numPr>
      </w:pPr>
      <w:r>
        <w:t xml:space="preserve">The effect of </w:t>
      </w:r>
      <w:r w:rsidR="00E728D1">
        <w:t>reorganization on</w:t>
      </w:r>
      <w:r>
        <w:t>:</w:t>
      </w:r>
      <w:r w:rsidR="00E728D1">
        <w:t xml:space="preserve"> </w:t>
      </w:r>
    </w:p>
    <w:p w14:paraId="7019B8C9" w14:textId="0C39A4C8" w:rsidR="00E728D1" w:rsidRDefault="00E728D1" w:rsidP="00367FE5">
      <w:pPr>
        <w:pStyle w:val="ListParagraph"/>
        <w:numPr>
          <w:ilvl w:val="3"/>
          <w:numId w:val="25"/>
        </w:numPr>
      </w:pPr>
      <w:r>
        <w:t>academic programs</w:t>
      </w:r>
    </w:p>
    <w:p w14:paraId="25D2EE3B" w14:textId="221A4A0B" w:rsidR="00E728D1" w:rsidRDefault="00081D79" w:rsidP="00367FE5">
      <w:pPr>
        <w:pStyle w:val="ListParagraph"/>
        <w:numPr>
          <w:ilvl w:val="3"/>
          <w:numId w:val="25"/>
        </w:numPr>
      </w:pPr>
      <w:r>
        <w:t>partnerships</w:t>
      </w:r>
      <w:r w:rsidR="006878C4">
        <w:t xml:space="preserve"> </w:t>
      </w:r>
      <w:r>
        <w:t>(</w:t>
      </w:r>
      <w:r w:rsidR="006878C4">
        <w:t>teaching, research, and external</w:t>
      </w:r>
      <w:r>
        <w:t>)</w:t>
      </w:r>
    </w:p>
    <w:p w14:paraId="7167BE64" w14:textId="637F9A1B" w:rsidR="00367FE5" w:rsidRDefault="001E5F96" w:rsidP="00367FE5">
      <w:pPr>
        <w:pStyle w:val="ListParagraph"/>
        <w:numPr>
          <w:ilvl w:val="3"/>
          <w:numId w:val="25"/>
        </w:numPr>
      </w:pPr>
      <w:r>
        <w:t xml:space="preserve">leadership, </w:t>
      </w:r>
      <w:r w:rsidR="006878C4">
        <w:t>personnel</w:t>
      </w:r>
      <w:r>
        <w:t>,</w:t>
      </w:r>
      <w:r w:rsidR="00367FE5">
        <w:t xml:space="preserve"> and staffing</w:t>
      </w:r>
      <w:r>
        <w:t xml:space="preserve"> of affected units</w:t>
      </w:r>
    </w:p>
    <w:p w14:paraId="293C2D11" w14:textId="3DE136CB" w:rsidR="001E5F96" w:rsidRDefault="006878C4" w:rsidP="001E5F96">
      <w:pPr>
        <w:pStyle w:val="ListParagraph"/>
        <w:numPr>
          <w:ilvl w:val="3"/>
          <w:numId w:val="25"/>
        </w:numPr>
      </w:pPr>
      <w:r>
        <w:t>student interests</w:t>
      </w:r>
    </w:p>
    <w:p w14:paraId="03FFEB4F" w14:textId="0BF2D5D9" w:rsidR="001E5F96" w:rsidRDefault="001E5F96" w:rsidP="00367FE5">
      <w:pPr>
        <w:pStyle w:val="ListParagraph"/>
        <w:numPr>
          <w:ilvl w:val="3"/>
          <w:numId w:val="25"/>
        </w:numPr>
      </w:pPr>
      <w:r>
        <w:t>alumni from affected units</w:t>
      </w:r>
    </w:p>
    <w:p w14:paraId="7CA22D6D" w14:textId="74B5B29E" w:rsidR="00367FE5" w:rsidRDefault="00367FE5" w:rsidP="00367FE5">
      <w:pPr>
        <w:pStyle w:val="ListParagraph"/>
        <w:numPr>
          <w:ilvl w:val="3"/>
          <w:numId w:val="25"/>
        </w:numPr>
      </w:pPr>
      <w:r>
        <w:t>budget</w:t>
      </w:r>
    </w:p>
    <w:p w14:paraId="303B9EAD" w14:textId="3F226B00" w:rsidR="00081D79" w:rsidRDefault="00081D79" w:rsidP="00081D79">
      <w:pPr>
        <w:pStyle w:val="ListParagraph"/>
        <w:numPr>
          <w:ilvl w:val="2"/>
          <w:numId w:val="25"/>
        </w:numPr>
      </w:pPr>
      <w:r>
        <w:t>Other factors determined by the Reorganization Study Committee.</w:t>
      </w:r>
    </w:p>
    <w:p w14:paraId="3BAE13F0" w14:textId="147D4AFA" w:rsidR="00CA3E11" w:rsidRDefault="00275E8B" w:rsidP="00CA3E11">
      <w:pPr>
        <w:pStyle w:val="ListParagraph"/>
        <w:numPr>
          <w:ilvl w:val="0"/>
          <w:numId w:val="25"/>
        </w:numPr>
      </w:pPr>
      <w:r>
        <w:t>The Reorganization Study Committee should provide s</w:t>
      </w:r>
      <w:r w:rsidR="00CA3E11">
        <w:t>ufficient</w:t>
      </w:r>
      <w:r w:rsidR="00653021">
        <w:t xml:space="preserve"> and compelling</w:t>
      </w:r>
      <w:r w:rsidR="00CD0A8A">
        <w:t xml:space="preserve"> evidence-based</w:t>
      </w:r>
      <w:r w:rsidR="00CA3E11">
        <w:t xml:space="preserve"> justification</w:t>
      </w:r>
      <w:r>
        <w:t>s</w:t>
      </w:r>
      <w:r w:rsidR="00CA3E11">
        <w:t xml:space="preserve"> </w:t>
      </w:r>
      <w:r>
        <w:t xml:space="preserve">for reorganization. </w:t>
      </w:r>
      <w:r w:rsidR="00CA3E11">
        <w:t>These should include, but are not limited to:</w:t>
      </w:r>
    </w:p>
    <w:p w14:paraId="203FBDF3" w14:textId="768F1A17" w:rsidR="00CA3E11" w:rsidRDefault="00CA3E11" w:rsidP="00CA3E11">
      <w:pPr>
        <w:pStyle w:val="ListParagraph"/>
        <w:numPr>
          <w:ilvl w:val="1"/>
          <w:numId w:val="25"/>
        </w:numPr>
      </w:pPr>
      <w:r>
        <w:lastRenderedPageBreak/>
        <w:t>Achieving the mission of the University as</w:t>
      </w:r>
      <w:r w:rsidR="00081D79">
        <w:t xml:space="preserve"> articulated in the University s</w:t>
      </w:r>
      <w:r>
        <w:t>trategic plan</w:t>
      </w:r>
    </w:p>
    <w:p w14:paraId="4866CBFF" w14:textId="77777777" w:rsidR="00CA3E11" w:rsidRDefault="00CA3E11" w:rsidP="00CA3E11">
      <w:pPr>
        <w:pStyle w:val="ListParagraph"/>
        <w:numPr>
          <w:ilvl w:val="1"/>
          <w:numId w:val="25"/>
        </w:numPr>
      </w:pPr>
      <w:r>
        <w:t>Increased attainment for students</w:t>
      </w:r>
    </w:p>
    <w:p w14:paraId="2AACE2BC" w14:textId="77777777" w:rsidR="00CA3E11" w:rsidRDefault="00CA3E11" w:rsidP="00CA3E11">
      <w:pPr>
        <w:pStyle w:val="ListParagraph"/>
        <w:numPr>
          <w:ilvl w:val="1"/>
          <w:numId w:val="25"/>
        </w:numPr>
      </w:pPr>
      <w:r>
        <w:t>Increased Research and Scholarship productivity</w:t>
      </w:r>
    </w:p>
    <w:p w14:paraId="45830BC1" w14:textId="77777777" w:rsidR="00CA3E11" w:rsidRDefault="00CA3E11" w:rsidP="00CA3E11">
      <w:pPr>
        <w:pStyle w:val="ListParagraph"/>
        <w:numPr>
          <w:ilvl w:val="1"/>
          <w:numId w:val="25"/>
        </w:numPr>
      </w:pPr>
      <w:r>
        <w:t>Increased budgetary efficiency</w:t>
      </w:r>
    </w:p>
    <w:p w14:paraId="4F66D390" w14:textId="02FF9A6D" w:rsidR="00CA3E11" w:rsidRDefault="00CA3E11" w:rsidP="00CA3E11">
      <w:pPr>
        <w:pStyle w:val="ListParagraph"/>
        <w:numPr>
          <w:ilvl w:val="1"/>
          <w:numId w:val="25"/>
        </w:numPr>
      </w:pPr>
      <w:r>
        <w:t>Capitalize on new rese</w:t>
      </w:r>
      <w:r w:rsidR="00081D79">
        <w:t>arch and teaching opportunities</w:t>
      </w:r>
    </w:p>
    <w:p w14:paraId="20E4F3E1" w14:textId="37EF699D" w:rsidR="000E4C09" w:rsidRDefault="00CA3E11" w:rsidP="004B49C9">
      <w:pPr>
        <w:pStyle w:val="ListParagraph"/>
        <w:numPr>
          <w:ilvl w:val="1"/>
          <w:numId w:val="25"/>
        </w:numPr>
      </w:pPr>
      <w:r>
        <w:t xml:space="preserve">Keep up with the changing demands for research </w:t>
      </w:r>
      <w:r w:rsidR="00081D79">
        <w:t>and teaching in different areas</w:t>
      </w:r>
      <w:r w:rsidR="000E4C09">
        <w:tab/>
      </w:r>
    </w:p>
    <w:p w14:paraId="19BCFB41" w14:textId="39525F82" w:rsidR="008B0A62" w:rsidRDefault="008B0A62" w:rsidP="008B0A62">
      <w:pPr>
        <w:pStyle w:val="ListParagraph"/>
        <w:numPr>
          <w:ilvl w:val="0"/>
          <w:numId w:val="25"/>
        </w:numPr>
      </w:pPr>
      <w:r>
        <w:t xml:space="preserve">If the Reorganization Study Committee finds that there is not </w:t>
      </w:r>
      <w:r w:rsidR="00653021">
        <w:t>enough sufficient and compelling</w:t>
      </w:r>
      <w:r>
        <w:t xml:space="preserve"> evidence to justify a reorganization, they must submit a report of their findings to the Chancellor and the Provost.</w:t>
      </w:r>
    </w:p>
    <w:p w14:paraId="3F9A38FE" w14:textId="473E5F97" w:rsidR="00F02524" w:rsidRDefault="00CA3E11" w:rsidP="00E728D1">
      <w:pPr>
        <w:pStyle w:val="ListParagraph"/>
        <w:numPr>
          <w:ilvl w:val="0"/>
          <w:numId w:val="25"/>
        </w:numPr>
      </w:pPr>
      <w:r>
        <w:t>The</w:t>
      </w:r>
      <w:r w:rsidR="00634D8D">
        <w:t xml:space="preserve"> </w:t>
      </w:r>
      <w:r w:rsidR="00275E8B">
        <w:t>Reorganization Study Committee</w:t>
      </w:r>
      <w:r w:rsidR="00634D8D">
        <w:t xml:space="preserve"> should develop</w:t>
      </w:r>
      <w:r>
        <w:t xml:space="preserve"> goals </w:t>
      </w:r>
      <w:r w:rsidR="00864430">
        <w:t>for</w:t>
      </w:r>
      <w:r w:rsidR="00634D8D">
        <w:t xml:space="preserve"> </w:t>
      </w:r>
      <w:r w:rsidR="00E933A4">
        <w:t xml:space="preserve">the </w:t>
      </w:r>
      <w:r w:rsidR="00634D8D">
        <w:t>reorganization to meet the justifications for the reorganization.</w:t>
      </w:r>
      <w:r w:rsidR="0017517F">
        <w:t xml:space="preserve"> </w:t>
      </w:r>
    </w:p>
    <w:p w14:paraId="429BFD22" w14:textId="56E30079" w:rsidR="00CA3E11" w:rsidRDefault="008D3345" w:rsidP="00F02524">
      <w:pPr>
        <w:pStyle w:val="ListParagraph"/>
        <w:numPr>
          <w:ilvl w:val="1"/>
          <w:numId w:val="25"/>
        </w:numPr>
      </w:pPr>
      <w:r>
        <w:t xml:space="preserve">The Reorganization Study Committee must agree, by </w:t>
      </w:r>
      <w:r w:rsidR="00DE654C">
        <w:t>simple majority</w:t>
      </w:r>
      <w:r>
        <w:t xml:space="preserve"> vote,</w:t>
      </w:r>
      <w:r w:rsidR="000B5E81">
        <w:t xml:space="preserve"> upon the </w:t>
      </w:r>
      <w:r w:rsidR="00367FE5">
        <w:t>justifications and goals</w:t>
      </w:r>
      <w:r w:rsidR="000B5E81">
        <w:t xml:space="preserve"> in order to move forward.</w:t>
      </w:r>
      <w:r>
        <w:t xml:space="preserve"> In the event of an even split vote, the Provost can vote to break the tie.</w:t>
      </w:r>
    </w:p>
    <w:p w14:paraId="53D85FCF" w14:textId="34AECDA9" w:rsidR="00367FE5" w:rsidRDefault="00367FE5" w:rsidP="00F02524">
      <w:pPr>
        <w:pStyle w:val="ListParagraph"/>
        <w:numPr>
          <w:ilvl w:val="1"/>
          <w:numId w:val="25"/>
        </w:numPr>
      </w:pPr>
      <w:r>
        <w:t>The Reorganization Study Committee should produce a report for the Provost that details the justifications and goals of the reorganization and should include any minority opinions.</w:t>
      </w:r>
    </w:p>
    <w:p w14:paraId="0CC34815" w14:textId="5D991667" w:rsidR="0038522B" w:rsidRDefault="00CA3E11" w:rsidP="00B16DEB">
      <w:pPr>
        <w:pStyle w:val="ListParagraph"/>
        <w:numPr>
          <w:ilvl w:val="0"/>
          <w:numId w:val="25"/>
        </w:numPr>
      </w:pPr>
      <w:bookmarkStart w:id="10" w:name="_Ref471990472"/>
      <w:r>
        <w:t>Once the</w:t>
      </w:r>
      <w:r w:rsidR="00367FE5">
        <w:t xml:space="preserve"> Reorganization Study Committee approves the</w:t>
      </w:r>
      <w:r>
        <w:t xml:space="preserve"> </w:t>
      </w:r>
      <w:r w:rsidR="00367FE5">
        <w:t>justifications and goals</w:t>
      </w:r>
      <w:r w:rsidR="00B16DEB">
        <w:t xml:space="preserve"> </w:t>
      </w:r>
      <w:r w:rsidR="00367FE5">
        <w:t xml:space="preserve">by </w:t>
      </w:r>
      <w:r w:rsidR="00DE654C">
        <w:t>simple majority</w:t>
      </w:r>
      <w:r w:rsidR="00367FE5">
        <w:t xml:space="preserve"> vote</w:t>
      </w:r>
      <w:r w:rsidR="0038522B">
        <w:t>, they submit</w:t>
      </w:r>
      <w:r w:rsidR="00367FE5">
        <w:t xml:space="preserve"> their report to the Provost</w:t>
      </w:r>
      <w:r w:rsidR="0038522B">
        <w:t>.</w:t>
      </w:r>
      <w:bookmarkEnd w:id="10"/>
    </w:p>
    <w:p w14:paraId="4FE071CD" w14:textId="36F992A6" w:rsidR="00CA3E11" w:rsidRDefault="0038522B" w:rsidP="00B16DEB">
      <w:pPr>
        <w:pStyle w:val="ListParagraph"/>
        <w:numPr>
          <w:ilvl w:val="0"/>
          <w:numId w:val="25"/>
        </w:numPr>
      </w:pPr>
      <w:bookmarkStart w:id="11" w:name="_Ref471990823"/>
      <w:r>
        <w:t>T</w:t>
      </w:r>
      <w:r w:rsidR="00B16DEB">
        <w:t>he Provost appoints a</w:t>
      </w:r>
      <w:r w:rsidR="008D3345">
        <w:t xml:space="preserve"> Reorganization Implementation C</w:t>
      </w:r>
      <w:r w:rsidR="00CA3E11">
        <w:t>ommittee charged to investigate the reorganization:</w:t>
      </w:r>
      <w:bookmarkEnd w:id="11"/>
    </w:p>
    <w:p w14:paraId="707AA1EE" w14:textId="6BF1C210" w:rsidR="00CA3E11" w:rsidRDefault="00CA3E11" w:rsidP="00CA3E11">
      <w:pPr>
        <w:pStyle w:val="ListParagraph"/>
        <w:numPr>
          <w:ilvl w:val="1"/>
          <w:numId w:val="25"/>
        </w:numPr>
      </w:pPr>
      <w:r>
        <w:t>The charge sh</w:t>
      </w:r>
      <w:r w:rsidR="00367FE5">
        <w:t xml:space="preserve">ould include the justifications and goals </w:t>
      </w:r>
      <w:r>
        <w:t>from above.</w:t>
      </w:r>
    </w:p>
    <w:p w14:paraId="576AAF21" w14:textId="77777777" w:rsidR="00CA3E11" w:rsidRDefault="00CA3E11" w:rsidP="000E4C09">
      <w:pPr>
        <w:pStyle w:val="ListParagraph"/>
        <w:numPr>
          <w:ilvl w:val="1"/>
          <w:numId w:val="25"/>
        </w:numPr>
      </w:pPr>
      <w:r>
        <w:t>This group should be broadly empowered to gather the data necessary to do their work and should be aided by faculty and administrative groups as they gather this data.</w:t>
      </w:r>
    </w:p>
    <w:p w14:paraId="32CD6AD1" w14:textId="77777777" w:rsidR="00CA3E11" w:rsidRDefault="00CA3E11" w:rsidP="00F02524">
      <w:pPr>
        <w:pStyle w:val="ListParagraph"/>
        <w:numPr>
          <w:ilvl w:val="1"/>
          <w:numId w:val="25"/>
        </w:numPr>
      </w:pPr>
      <w:r>
        <w:t>The broad range of data may include but is not limited to:</w:t>
      </w:r>
    </w:p>
    <w:p w14:paraId="042CA0D2" w14:textId="77777777" w:rsidR="00CA3E11" w:rsidRDefault="00CA3E11" w:rsidP="00F02524">
      <w:pPr>
        <w:pStyle w:val="ListParagraph"/>
        <w:numPr>
          <w:ilvl w:val="2"/>
          <w:numId w:val="25"/>
        </w:numPr>
      </w:pPr>
      <w:r>
        <w:t>Necessary changes to bylaws within a re-organized unit or units</w:t>
      </w:r>
    </w:p>
    <w:p w14:paraId="3F224060" w14:textId="77777777" w:rsidR="00CA3E11" w:rsidRDefault="00CA3E11" w:rsidP="00F02524">
      <w:pPr>
        <w:pStyle w:val="ListParagraph"/>
        <w:numPr>
          <w:ilvl w:val="2"/>
          <w:numId w:val="25"/>
        </w:numPr>
      </w:pPr>
      <w:r>
        <w:t>Advising and articulation issues</w:t>
      </w:r>
    </w:p>
    <w:p w14:paraId="76B38259" w14:textId="5F9C9A20" w:rsidR="00081D79" w:rsidRDefault="00081D79" w:rsidP="00F02524">
      <w:pPr>
        <w:pStyle w:val="ListParagraph"/>
        <w:numPr>
          <w:ilvl w:val="2"/>
          <w:numId w:val="25"/>
        </w:numPr>
      </w:pPr>
      <w:r>
        <w:t>Budget information</w:t>
      </w:r>
    </w:p>
    <w:p w14:paraId="45834B2D" w14:textId="5AA75969" w:rsidR="0038522B" w:rsidRDefault="00B16DEB" w:rsidP="00B16DEB">
      <w:pPr>
        <w:pStyle w:val="ListParagraph"/>
        <w:numPr>
          <w:ilvl w:val="1"/>
          <w:numId w:val="25"/>
        </w:numPr>
      </w:pPr>
      <w:bookmarkStart w:id="12" w:name="_Ref471991043"/>
      <w:r>
        <w:t xml:space="preserve">The Reorganization Implementation Committee should make </w:t>
      </w:r>
      <w:r w:rsidR="0038522B">
        <w:t>a recommendation to the Provost.</w:t>
      </w:r>
      <w:bookmarkEnd w:id="12"/>
    </w:p>
    <w:p w14:paraId="6D3450D6" w14:textId="0B0E173C" w:rsidR="0038522B" w:rsidRDefault="0038522B" w:rsidP="0038522B">
      <w:pPr>
        <w:pStyle w:val="ListParagraph"/>
        <w:numPr>
          <w:ilvl w:val="2"/>
          <w:numId w:val="25"/>
        </w:numPr>
      </w:pPr>
      <w:r>
        <w:t>The recommendation should outline:</w:t>
      </w:r>
    </w:p>
    <w:p w14:paraId="5FD1E254" w14:textId="77777777" w:rsidR="0038522B" w:rsidRDefault="0038522B" w:rsidP="0038522B">
      <w:pPr>
        <w:pStyle w:val="ListParagraph"/>
        <w:numPr>
          <w:ilvl w:val="3"/>
          <w:numId w:val="25"/>
        </w:numPr>
      </w:pPr>
      <w:r>
        <w:t>What reorganization is recommended and why</w:t>
      </w:r>
    </w:p>
    <w:p w14:paraId="11E49778" w14:textId="77777777" w:rsidR="0038522B" w:rsidRDefault="0038522B" w:rsidP="0038522B">
      <w:pPr>
        <w:pStyle w:val="ListParagraph"/>
        <w:numPr>
          <w:ilvl w:val="3"/>
          <w:numId w:val="25"/>
        </w:numPr>
      </w:pPr>
      <w:r>
        <w:t>The necessary steps for a reorganization to occur</w:t>
      </w:r>
    </w:p>
    <w:p w14:paraId="0993A01A" w14:textId="77777777" w:rsidR="0038522B" w:rsidRDefault="0038522B" w:rsidP="0038522B">
      <w:pPr>
        <w:pStyle w:val="ListParagraph"/>
        <w:numPr>
          <w:ilvl w:val="3"/>
          <w:numId w:val="25"/>
        </w:numPr>
      </w:pPr>
      <w:r>
        <w:t>What the timeframe is for the reorganization</w:t>
      </w:r>
    </w:p>
    <w:p w14:paraId="7F71C030" w14:textId="6D7A30D3" w:rsidR="0038522B" w:rsidRDefault="0038522B" w:rsidP="00AC48E9">
      <w:pPr>
        <w:pStyle w:val="ListParagraph"/>
        <w:numPr>
          <w:ilvl w:val="3"/>
          <w:numId w:val="25"/>
        </w:numPr>
      </w:pPr>
      <w:r>
        <w:t xml:space="preserve">What metrics should be used to judge the success of the reorganization </w:t>
      </w:r>
      <w:r w:rsidR="00AC48E9">
        <w:t>and other plans for assessment</w:t>
      </w:r>
    </w:p>
    <w:p w14:paraId="49E6DADD" w14:textId="77777777" w:rsidR="0038522B" w:rsidRDefault="0038522B" w:rsidP="0038522B">
      <w:pPr>
        <w:pStyle w:val="ListParagraph"/>
        <w:numPr>
          <w:ilvl w:val="3"/>
          <w:numId w:val="25"/>
        </w:numPr>
      </w:pPr>
      <w:r>
        <w:t>What, if any, ramifications on units across the University are expected</w:t>
      </w:r>
    </w:p>
    <w:p w14:paraId="386719A4" w14:textId="77777777" w:rsidR="0038522B" w:rsidRDefault="0038522B" w:rsidP="0038522B">
      <w:pPr>
        <w:pStyle w:val="ListParagraph"/>
        <w:numPr>
          <w:ilvl w:val="3"/>
          <w:numId w:val="25"/>
        </w:numPr>
      </w:pPr>
      <w:r>
        <w:t>What, if any, changes would be made or recommended to University administrative structures to support the reorganization</w:t>
      </w:r>
    </w:p>
    <w:p w14:paraId="664F7BBF" w14:textId="77777777" w:rsidR="0038522B" w:rsidRDefault="0038522B" w:rsidP="0038522B">
      <w:pPr>
        <w:pStyle w:val="ListParagraph"/>
        <w:numPr>
          <w:ilvl w:val="3"/>
          <w:numId w:val="25"/>
        </w:numPr>
      </w:pPr>
      <w:r>
        <w:t>Budgetary requirements for the reorganized units</w:t>
      </w:r>
    </w:p>
    <w:p w14:paraId="124B400E" w14:textId="77777777" w:rsidR="0038522B" w:rsidRDefault="0038522B" w:rsidP="0038522B">
      <w:pPr>
        <w:pStyle w:val="ListParagraph"/>
        <w:numPr>
          <w:ilvl w:val="3"/>
          <w:numId w:val="25"/>
        </w:numPr>
      </w:pPr>
      <w:r>
        <w:lastRenderedPageBreak/>
        <w:t>Staff and administrative positions affected by the reorganization</w:t>
      </w:r>
    </w:p>
    <w:p w14:paraId="6BE5219D" w14:textId="77777777" w:rsidR="0038522B" w:rsidRDefault="0038522B" w:rsidP="0038522B">
      <w:pPr>
        <w:pStyle w:val="ListParagraph"/>
        <w:numPr>
          <w:ilvl w:val="3"/>
          <w:numId w:val="25"/>
        </w:numPr>
      </w:pPr>
      <w:r>
        <w:t>How tenure is preserved</w:t>
      </w:r>
    </w:p>
    <w:p w14:paraId="50477DA5" w14:textId="77777777" w:rsidR="0038522B" w:rsidRDefault="0038522B" w:rsidP="0038522B">
      <w:pPr>
        <w:pStyle w:val="ListParagraph"/>
        <w:numPr>
          <w:ilvl w:val="3"/>
          <w:numId w:val="25"/>
        </w:numPr>
      </w:pPr>
      <w:r>
        <w:t>How contracts with non-tenured faculty are affected</w:t>
      </w:r>
    </w:p>
    <w:p w14:paraId="61ABF549" w14:textId="77777777" w:rsidR="0038522B" w:rsidRDefault="0038522B" w:rsidP="0038522B">
      <w:pPr>
        <w:pStyle w:val="ListParagraph"/>
        <w:numPr>
          <w:ilvl w:val="3"/>
          <w:numId w:val="25"/>
        </w:numPr>
      </w:pPr>
      <w:r>
        <w:t>Challenges that may be faced in carrying out the reorganization</w:t>
      </w:r>
    </w:p>
    <w:p w14:paraId="684951BE" w14:textId="5AFE1F0D" w:rsidR="0038522B" w:rsidRDefault="0038522B" w:rsidP="0038522B">
      <w:pPr>
        <w:pStyle w:val="ListParagraph"/>
        <w:numPr>
          <w:ilvl w:val="3"/>
          <w:numId w:val="25"/>
        </w:numPr>
      </w:pPr>
      <w:r>
        <w:t>Community or other stakeholders that should be informed about the reorganization (donors, alumni, etc.)</w:t>
      </w:r>
    </w:p>
    <w:p w14:paraId="2A99A24C" w14:textId="2FFAE129" w:rsidR="0011042D" w:rsidRDefault="0038522B" w:rsidP="0038522B">
      <w:pPr>
        <w:pStyle w:val="ListParagraph"/>
        <w:numPr>
          <w:ilvl w:val="0"/>
          <w:numId w:val="25"/>
        </w:numPr>
      </w:pPr>
      <w:bookmarkStart w:id="13" w:name="_Ref471991297"/>
      <w:r>
        <w:t>The Provost</w:t>
      </w:r>
      <w:r w:rsidR="00B16DEB">
        <w:t xml:space="preserve"> </w:t>
      </w:r>
      <w:r>
        <w:t xml:space="preserve">shares the </w:t>
      </w:r>
      <w:r w:rsidR="0043040D">
        <w:t xml:space="preserve">Reorganization Implementation Committee’s </w:t>
      </w:r>
      <w:r>
        <w:t>recommendation with</w:t>
      </w:r>
      <w:r w:rsidR="00B16DEB">
        <w:t xml:space="preserve"> the</w:t>
      </w:r>
      <w:r w:rsidR="0011042D">
        <w:t xml:space="preserve"> Deans and Faculty Chairs from affected units.</w:t>
      </w:r>
      <w:bookmarkEnd w:id="13"/>
    </w:p>
    <w:p w14:paraId="1900145E" w14:textId="469CAE06" w:rsidR="0011042D" w:rsidRDefault="0011042D" w:rsidP="0011042D">
      <w:pPr>
        <w:pStyle w:val="ListParagraph"/>
        <w:numPr>
          <w:ilvl w:val="1"/>
          <w:numId w:val="25"/>
        </w:numPr>
      </w:pPr>
      <w:bookmarkStart w:id="14" w:name="_Ref471991391"/>
      <w:r>
        <w:t>Faculty from the affected units shall vote on the recommendation within their respective faculty governance groups.</w:t>
      </w:r>
      <w:bookmarkEnd w:id="14"/>
    </w:p>
    <w:p w14:paraId="38758CE6" w14:textId="139DC0E9" w:rsidR="0011042D" w:rsidRDefault="0011042D" w:rsidP="0011042D">
      <w:pPr>
        <w:pStyle w:val="ListParagraph"/>
        <w:numPr>
          <w:ilvl w:val="1"/>
          <w:numId w:val="25"/>
        </w:numPr>
      </w:pPr>
      <w:r>
        <w:t>If the affected units’ faculty g</w:t>
      </w:r>
      <w:r w:rsidR="0043040D">
        <w:t xml:space="preserve">overnance groups all accept the </w:t>
      </w:r>
      <w:r>
        <w:t xml:space="preserve">recommendation by </w:t>
      </w:r>
      <w:r w:rsidR="00DE654C">
        <w:t>simple majority</w:t>
      </w:r>
      <w:r>
        <w:t xml:space="preserve"> vote, the Provost is notified with the results and shares the final recommendation with the Faculty Senate.</w:t>
      </w:r>
    </w:p>
    <w:p w14:paraId="1B3B873E" w14:textId="2B988F7C" w:rsidR="0043040D" w:rsidRDefault="0011042D" w:rsidP="0043040D">
      <w:pPr>
        <w:pStyle w:val="ListParagraph"/>
        <w:numPr>
          <w:ilvl w:val="1"/>
          <w:numId w:val="25"/>
        </w:numPr>
      </w:pPr>
      <w:r>
        <w:t xml:space="preserve">If </w:t>
      </w:r>
      <w:r w:rsidR="0043040D">
        <w:t xml:space="preserve">a faculty governance group from at least one affected unit does not accept the recommendation with a </w:t>
      </w:r>
      <w:r w:rsidR="00DE654C">
        <w:t>simple majority</w:t>
      </w:r>
      <w:r w:rsidR="0043040D">
        <w:t xml:space="preserve"> vote, they must submit a statement to the Provost detailing why the recommendation was not approved.</w:t>
      </w:r>
    </w:p>
    <w:p w14:paraId="00092762" w14:textId="2C733756" w:rsidR="00B16DEB" w:rsidRDefault="0011042D" w:rsidP="0038522B">
      <w:pPr>
        <w:pStyle w:val="ListParagraph"/>
        <w:numPr>
          <w:ilvl w:val="0"/>
          <w:numId w:val="25"/>
        </w:numPr>
      </w:pPr>
      <w:bookmarkStart w:id="15" w:name="_Ref471991606"/>
      <w:r>
        <w:t>The Provost shares the recommendation, along with the voting results from the affected units’ faculty governance groups</w:t>
      </w:r>
      <w:r w:rsidR="0043040D">
        <w:t xml:space="preserve"> and any statement(s) submitted</w:t>
      </w:r>
      <w:r>
        <w:t>, with the</w:t>
      </w:r>
      <w:r w:rsidR="00B16DEB">
        <w:t xml:space="preserve"> Faculty Senate.</w:t>
      </w:r>
      <w:bookmarkEnd w:id="15"/>
    </w:p>
    <w:p w14:paraId="370547CA" w14:textId="2C3ADF4B" w:rsidR="000E4C09" w:rsidRDefault="000E4C09" w:rsidP="0038522B">
      <w:pPr>
        <w:pStyle w:val="ListParagraph"/>
        <w:numPr>
          <w:ilvl w:val="1"/>
          <w:numId w:val="25"/>
        </w:numPr>
      </w:pPr>
      <w:bookmarkStart w:id="16" w:name="_Ref471992588"/>
      <w:r>
        <w:t xml:space="preserve">The Faculty Senate must, by </w:t>
      </w:r>
      <w:r w:rsidR="00DE654C">
        <w:t>simple majority</w:t>
      </w:r>
      <w:r>
        <w:t xml:space="preserve"> v</w:t>
      </w:r>
      <w:r w:rsidR="0038522B">
        <w:t>ote, approve the recommendation</w:t>
      </w:r>
      <w:r>
        <w:t>.</w:t>
      </w:r>
      <w:bookmarkEnd w:id="16"/>
    </w:p>
    <w:p w14:paraId="7B6CB8FC" w14:textId="77777777" w:rsidR="0043040D" w:rsidRDefault="000E4C09" w:rsidP="0038522B">
      <w:pPr>
        <w:pStyle w:val="ListParagraph"/>
        <w:numPr>
          <w:ilvl w:val="1"/>
          <w:numId w:val="25"/>
        </w:numPr>
      </w:pPr>
      <w:r>
        <w:t>If the Faculty Senate does</w:t>
      </w:r>
      <w:r w:rsidR="0038522B">
        <w:t xml:space="preserve"> not approve the recommendation</w:t>
      </w:r>
      <w:r>
        <w:t xml:space="preserve">, </w:t>
      </w:r>
      <w:r w:rsidR="00E933A4">
        <w:t xml:space="preserve">the Faculty Senate should submit a statement to the </w:t>
      </w:r>
      <w:r w:rsidR="0011042D">
        <w:t>Provost</w:t>
      </w:r>
      <w:r w:rsidR="00E933A4">
        <w:t xml:space="preserve"> detailing why the recommendation was not approved.</w:t>
      </w:r>
    </w:p>
    <w:p w14:paraId="609FD17E" w14:textId="6B01FE2C" w:rsidR="000E4C09" w:rsidRDefault="0043040D" w:rsidP="0043040D">
      <w:pPr>
        <w:pStyle w:val="ListParagraph"/>
        <w:numPr>
          <w:ilvl w:val="0"/>
          <w:numId w:val="25"/>
        </w:numPr>
      </w:pPr>
      <w:bookmarkStart w:id="17" w:name="_Ref471992967"/>
      <w:r>
        <w:t>The Provost shall write a statement, offering endorsement of the recommendation or detailing why the Provost will not offer endorsement.</w:t>
      </w:r>
      <w:bookmarkEnd w:id="17"/>
      <w:r w:rsidR="00E933A4">
        <w:t xml:space="preserve"> </w:t>
      </w:r>
    </w:p>
    <w:p w14:paraId="5569E8DA" w14:textId="6544925E" w:rsidR="00CA3E11" w:rsidRDefault="00CA3E11" w:rsidP="0038522B">
      <w:pPr>
        <w:pStyle w:val="ListParagraph"/>
        <w:numPr>
          <w:ilvl w:val="0"/>
          <w:numId w:val="25"/>
        </w:numPr>
      </w:pPr>
      <w:bookmarkStart w:id="18" w:name="_Ref471992973"/>
      <w:r>
        <w:t xml:space="preserve">The </w:t>
      </w:r>
      <w:r w:rsidR="0043040D">
        <w:t xml:space="preserve">Provost will submit the </w:t>
      </w:r>
      <w:r w:rsidR="0038522B">
        <w:t>Reorganization Implementation C</w:t>
      </w:r>
      <w:r>
        <w:t>ommittee</w:t>
      </w:r>
      <w:r w:rsidR="0038522B">
        <w:t>’s recommendation</w:t>
      </w:r>
      <w:r w:rsidR="0043040D">
        <w:t xml:space="preserve"> and </w:t>
      </w:r>
      <w:r w:rsidR="00E933A4">
        <w:t>any accompanying statement</w:t>
      </w:r>
      <w:r w:rsidR="0043040D">
        <w:t>(s) from</w:t>
      </w:r>
      <w:r w:rsidR="002A4F4E">
        <w:t xml:space="preserve"> the Provost, the</w:t>
      </w:r>
      <w:r w:rsidR="0043040D">
        <w:t xml:space="preserve"> faculty governance groups</w:t>
      </w:r>
      <w:r w:rsidR="002A4F4E">
        <w:t>, and</w:t>
      </w:r>
      <w:r w:rsidR="0043040D">
        <w:t xml:space="preserve"> the </w:t>
      </w:r>
      <w:r w:rsidR="00E933A4">
        <w:t xml:space="preserve">Faculty Senate </w:t>
      </w:r>
      <w:r w:rsidR="0038522B">
        <w:t>to the Chancellor.</w:t>
      </w:r>
      <w:bookmarkEnd w:id="18"/>
    </w:p>
    <w:p w14:paraId="2515DC6C" w14:textId="372F7021" w:rsidR="00CA3E11" w:rsidRDefault="002A4F4E" w:rsidP="00CA3E11">
      <w:pPr>
        <w:pStyle w:val="ListParagraph"/>
        <w:numPr>
          <w:ilvl w:val="1"/>
          <w:numId w:val="25"/>
        </w:numPr>
      </w:pPr>
      <w:r>
        <w:t xml:space="preserve">If all </w:t>
      </w:r>
      <w:r w:rsidR="002860D9">
        <w:t>affected units’ faculty governance groups</w:t>
      </w:r>
      <w:r>
        <w:t xml:space="preserve"> and the Faculty Senate</w:t>
      </w:r>
      <w:r w:rsidR="002860D9">
        <w:t xml:space="preserve"> </w:t>
      </w:r>
      <w:r w:rsidR="00934B3A">
        <w:t>vote</w:t>
      </w:r>
      <w:r w:rsidR="002860D9">
        <w:t xml:space="preserve"> to accept the final recommendation</w:t>
      </w:r>
      <w:r w:rsidR="00934B3A">
        <w:t xml:space="preserve"> </w:t>
      </w:r>
      <w:r w:rsidR="00CA3E11">
        <w:t>and the Provost endorses the plan, the recommendation is put forth as a Bylaw change, affecting the composition of the University.</w:t>
      </w:r>
      <w:r>
        <w:t xml:space="preserve"> The Chancellor can then recommend to endorse and accept the change.</w:t>
      </w:r>
    </w:p>
    <w:p w14:paraId="25B377AD" w14:textId="0F4F3135" w:rsidR="00CA3E11" w:rsidRDefault="00CA3E11" w:rsidP="00CA3E11">
      <w:pPr>
        <w:pStyle w:val="ListParagraph"/>
        <w:numPr>
          <w:ilvl w:val="1"/>
          <w:numId w:val="25"/>
        </w:numPr>
      </w:pPr>
      <w:r>
        <w:t xml:space="preserve">As </w:t>
      </w:r>
      <w:r w:rsidR="00E9215C">
        <w:t>all Bylaw changes must, the recommendation</w:t>
      </w:r>
      <w:r>
        <w:t xml:space="preserve"> goes through UM System and the Board of Curators.</w:t>
      </w:r>
    </w:p>
    <w:p w14:paraId="31ED6C05" w14:textId="62C4CAB7" w:rsidR="002A4F4E" w:rsidRDefault="002A4F4E" w:rsidP="00CA3E11">
      <w:pPr>
        <w:pStyle w:val="ListParagraph"/>
        <w:numPr>
          <w:ilvl w:val="1"/>
          <w:numId w:val="25"/>
        </w:numPr>
      </w:pPr>
      <w:r>
        <w:t>If the recommendation does not pass a vote by all affected units’ faculty governance groups, the Faculty Senate, or does not receive an endorsement from the Provost and/or the Chancellor, the Provost will charge the Reorganization Implementation Committee with modifying the recommendation to address concerns expressed in any statements submitted by these parties.</w:t>
      </w:r>
    </w:p>
    <w:p w14:paraId="32A1C10C" w14:textId="2D485615" w:rsidR="002A4F4E" w:rsidRDefault="002A4F4E" w:rsidP="002A4F4E">
      <w:pPr>
        <w:pStyle w:val="ListParagraph"/>
        <w:numPr>
          <w:ilvl w:val="0"/>
          <w:numId w:val="25"/>
        </w:numPr>
      </w:pPr>
      <w:r>
        <w:lastRenderedPageBreak/>
        <w:t>If the recommendation is sent back to the Reorganization Implementation Committee for modification, they shall have a maximum of one academic year to complete modifications and resubmit their recommendation to the Provost.</w:t>
      </w:r>
    </w:p>
    <w:p w14:paraId="6725B973" w14:textId="0EDCA3CD" w:rsidR="002A4F4E" w:rsidRDefault="002A4F4E" w:rsidP="002A4F4E">
      <w:pPr>
        <w:pStyle w:val="ListParagraph"/>
        <w:numPr>
          <w:ilvl w:val="1"/>
          <w:numId w:val="25"/>
        </w:numPr>
      </w:pPr>
      <w:r>
        <w:t xml:space="preserve">Steps 9 through 12 </w:t>
      </w:r>
      <w:r w:rsidR="00445C8E">
        <w:t xml:space="preserve">of “Process B” </w:t>
      </w:r>
      <w:r>
        <w:t xml:space="preserve">are then repeated </w:t>
      </w:r>
      <w:r w:rsidR="00445C8E">
        <w:t>with the modified recommendation.</w:t>
      </w:r>
    </w:p>
    <w:p w14:paraId="1C694DDC" w14:textId="57789E10" w:rsidR="00445C8E" w:rsidRDefault="00445C8E" w:rsidP="002A4F4E">
      <w:pPr>
        <w:pStyle w:val="ListParagraph"/>
        <w:numPr>
          <w:ilvl w:val="1"/>
          <w:numId w:val="25"/>
        </w:numPr>
      </w:pPr>
      <w:r>
        <w:t xml:space="preserve">If after the reintroduction of a modified recommendation, the recommendation does not garner all necessary votes and endorsements, the recommendation is shelved and will not be examined </w:t>
      </w:r>
      <w:r w:rsidR="00D13BFD">
        <w:t>for three academic years.</w:t>
      </w:r>
    </w:p>
    <w:p w14:paraId="2E9B9FF9" w14:textId="51665231" w:rsidR="00445C8E" w:rsidRDefault="00D13BFD" w:rsidP="002A4F4E">
      <w:pPr>
        <w:pStyle w:val="ListParagraph"/>
        <w:numPr>
          <w:ilvl w:val="1"/>
          <w:numId w:val="25"/>
        </w:numPr>
      </w:pPr>
      <w:r>
        <w:t>After the three academic years have</w:t>
      </w:r>
      <w:r w:rsidR="00445C8E">
        <w:t xml:space="preserve"> passed on a recommendation that was shelved, the </w:t>
      </w:r>
      <w:r>
        <w:t xml:space="preserve">Chancellor </w:t>
      </w:r>
      <w:r w:rsidR="00445C8E">
        <w:t>should review the recommendation.</w:t>
      </w:r>
    </w:p>
    <w:p w14:paraId="5947BC63" w14:textId="43B821F9" w:rsidR="00445C8E" w:rsidRDefault="00445C8E" w:rsidP="00445C8E">
      <w:pPr>
        <w:pStyle w:val="ListParagraph"/>
        <w:numPr>
          <w:ilvl w:val="2"/>
          <w:numId w:val="25"/>
        </w:numPr>
      </w:pPr>
      <w:r>
        <w:t xml:space="preserve">The </w:t>
      </w:r>
      <w:r w:rsidR="00D13BFD">
        <w:t>Chancellor may choose to</w:t>
      </w:r>
      <w:r w:rsidR="00E9215C">
        <w:t xml:space="preserve"> </w:t>
      </w:r>
      <w:r>
        <w:t>revive the recommendation. If the recommendation is revived, the Provost should reintroduce the recommendation through the processes described in</w:t>
      </w:r>
      <w:r w:rsidR="00C113DE">
        <w:t xml:space="preserve"> Steps 9 through 12 to garner the necessary votes and recommendations.</w:t>
      </w:r>
    </w:p>
    <w:p w14:paraId="0CD23436" w14:textId="0D823D9E" w:rsidR="00C113DE" w:rsidRDefault="00C113DE" w:rsidP="00E9215C">
      <w:pPr>
        <w:pStyle w:val="ListParagraph"/>
        <w:numPr>
          <w:ilvl w:val="2"/>
          <w:numId w:val="25"/>
        </w:numPr>
      </w:pPr>
      <w:r>
        <w:t>If the</w:t>
      </w:r>
      <w:r w:rsidR="00445C8E">
        <w:t xml:space="preserve"> </w:t>
      </w:r>
      <w:r w:rsidR="00D13BFD">
        <w:t xml:space="preserve">Chancellor </w:t>
      </w:r>
      <w:r>
        <w:t>does not revive the</w:t>
      </w:r>
      <w:r w:rsidR="00445C8E">
        <w:t xml:space="preserve"> recommendation</w:t>
      </w:r>
      <w:r w:rsidR="00D13BFD">
        <w:t>, the recommendation is dissolved.</w:t>
      </w:r>
    </w:p>
    <w:p w14:paraId="58829FE7" w14:textId="0862BCDE" w:rsidR="00D13BFD" w:rsidRDefault="00D13BFD" w:rsidP="00E9215C">
      <w:pPr>
        <w:pStyle w:val="ListParagraph"/>
        <w:numPr>
          <w:ilvl w:val="2"/>
          <w:numId w:val="25"/>
        </w:numPr>
      </w:pPr>
      <w:r>
        <w:t>If the Chancellor revives a modified recommendation that undergoes the processes described in Steps 9 through 12 and again does not garner the necessary votes and endorsements, the recommendation shall be dissolved.</w:t>
      </w:r>
    </w:p>
    <w:p w14:paraId="4713430A" w14:textId="515BEE82" w:rsidR="00E9215C" w:rsidRDefault="00E9215C" w:rsidP="00705262">
      <w:pPr>
        <w:pStyle w:val="ListParagraph"/>
        <w:numPr>
          <w:ilvl w:val="0"/>
          <w:numId w:val="25"/>
        </w:numPr>
      </w:pPr>
      <w:bookmarkStart w:id="19" w:name="_Ref471993187"/>
      <w:r>
        <w:t>When a recommendation is accepted and endorsed by all parties and the ByLaw change is passed by the UM System and the Board of Curators:</w:t>
      </w:r>
      <w:bookmarkEnd w:id="19"/>
      <w:r>
        <w:t xml:space="preserve"> </w:t>
      </w:r>
    </w:p>
    <w:p w14:paraId="4E1311D0" w14:textId="7311AECE" w:rsidR="00E9215C" w:rsidRDefault="00E9215C" w:rsidP="00E9215C">
      <w:pPr>
        <w:pStyle w:val="ListParagraph"/>
        <w:numPr>
          <w:ilvl w:val="1"/>
          <w:numId w:val="25"/>
        </w:numPr>
      </w:pPr>
      <w:bookmarkStart w:id="20" w:name="_Ref471993330"/>
      <w:r>
        <w:t>The Provost and the Reorganization Implementation Committee shall oversee the implementation of the recommendation.</w:t>
      </w:r>
      <w:bookmarkEnd w:id="20"/>
    </w:p>
    <w:p w14:paraId="03AFF7C8" w14:textId="28AFAE36" w:rsidR="00AC48E9" w:rsidRDefault="00AC48E9" w:rsidP="00E9215C">
      <w:pPr>
        <w:pStyle w:val="ListParagraph"/>
        <w:numPr>
          <w:ilvl w:val="1"/>
          <w:numId w:val="25"/>
        </w:numPr>
      </w:pPr>
      <w:bookmarkStart w:id="21" w:name="_Ref471993426"/>
      <w:r>
        <w:t>The Reorganization Implementation Committee shall submit one-year, three-year, and five-year assessment reports to the Provost, following the assessment plans laid out in the recommendation.</w:t>
      </w:r>
      <w:bookmarkEnd w:id="21"/>
    </w:p>
    <w:p w14:paraId="7C1D2774" w14:textId="77777777" w:rsidR="00CA3E11" w:rsidRPr="00CA3E11" w:rsidRDefault="00CA3E11" w:rsidP="00CA3E11"/>
    <w:p w14:paraId="057F8C5F" w14:textId="77777777" w:rsidR="003A3BE9" w:rsidRDefault="003A3BE9" w:rsidP="00CA3E11"/>
    <w:p w14:paraId="7B3E3554" w14:textId="77777777" w:rsidR="008E6DCF" w:rsidRDefault="008E6DCF" w:rsidP="00CA3E11"/>
    <w:p w14:paraId="1C90C271" w14:textId="77777777" w:rsidR="008E6DCF" w:rsidRDefault="008E6DCF" w:rsidP="00CA3E11"/>
    <w:p w14:paraId="78802451" w14:textId="77777777" w:rsidR="008E6DCF" w:rsidRDefault="008E6DCF" w:rsidP="00CA3E11"/>
    <w:p w14:paraId="66FE2B43" w14:textId="77777777" w:rsidR="008E6DCF" w:rsidRDefault="008E6DCF" w:rsidP="00CA3E11"/>
    <w:p w14:paraId="3FCEA2A6" w14:textId="77777777" w:rsidR="008E6DCF" w:rsidRDefault="008E6DCF" w:rsidP="00CA3E11"/>
    <w:p w14:paraId="75429710" w14:textId="77777777" w:rsidR="008E6DCF" w:rsidRDefault="008E6DCF" w:rsidP="00CA3E11"/>
    <w:p w14:paraId="16AA3C13" w14:textId="77777777" w:rsidR="008E6DCF" w:rsidRDefault="008E6DCF" w:rsidP="00CA3E11"/>
    <w:p w14:paraId="38FB3A8D" w14:textId="0AC7643A" w:rsidR="00DC5D2F" w:rsidRDefault="00DC5D2F">
      <w:r>
        <w:br w:type="page"/>
      </w:r>
    </w:p>
    <w:p w14:paraId="1BDFA6E3" w14:textId="53B06857" w:rsidR="008E6DCF" w:rsidRDefault="008E6DCF" w:rsidP="008E6DCF">
      <w:pPr>
        <w:pStyle w:val="Heading1"/>
      </w:pPr>
      <w:r>
        <w:lastRenderedPageBreak/>
        <w:t>Sample Timeline Scenario: Process</w:t>
      </w:r>
      <w:r w:rsidR="00501521">
        <w:t>es</w:t>
      </w:r>
      <w:r>
        <w:t xml:space="preserve"> A and B</w:t>
      </w:r>
    </w:p>
    <w:p w14:paraId="2449B825" w14:textId="03E8D44A" w:rsidR="009C57AC" w:rsidRPr="009C57AC" w:rsidRDefault="001E5F96" w:rsidP="009C57AC">
      <w:r>
        <w:t xml:space="preserve">This sample timeline shows how the university could move through Processes A and B with a well-supported idea for reorganization. </w:t>
      </w:r>
    </w:p>
    <w:p w14:paraId="1C8723DD" w14:textId="77777777" w:rsidR="008E6DCF" w:rsidRDefault="008E6DCF" w:rsidP="008E6DCF"/>
    <w:tbl>
      <w:tblPr>
        <w:tblStyle w:val="TableGrid"/>
        <w:tblW w:w="0" w:type="auto"/>
        <w:tblLook w:val="04A0" w:firstRow="1" w:lastRow="0" w:firstColumn="1" w:lastColumn="0" w:noHBand="0" w:noVBand="1"/>
      </w:tblPr>
      <w:tblGrid>
        <w:gridCol w:w="748"/>
        <w:gridCol w:w="1332"/>
        <w:gridCol w:w="6776"/>
      </w:tblGrid>
      <w:tr w:rsidR="00016A0F" w14:paraId="1634CC9C" w14:textId="77777777" w:rsidTr="00016A0F">
        <w:tc>
          <w:tcPr>
            <w:tcW w:w="0" w:type="auto"/>
          </w:tcPr>
          <w:p w14:paraId="6F41E071" w14:textId="5448DAF2" w:rsidR="00016A0F" w:rsidRDefault="00016A0F" w:rsidP="008E6DCF">
            <w:r>
              <w:t>2016</w:t>
            </w:r>
          </w:p>
        </w:tc>
        <w:tc>
          <w:tcPr>
            <w:tcW w:w="0" w:type="auto"/>
          </w:tcPr>
          <w:p w14:paraId="5049AE59" w14:textId="374DB604" w:rsidR="00016A0F" w:rsidRDefault="00016A0F" w:rsidP="008E6DCF">
            <w:r>
              <w:t>September</w:t>
            </w:r>
          </w:p>
        </w:tc>
        <w:tc>
          <w:tcPr>
            <w:tcW w:w="0" w:type="auto"/>
          </w:tcPr>
          <w:p w14:paraId="35B25A09" w14:textId="11E5D86B" w:rsidR="00016A0F" w:rsidRDefault="00016A0F" w:rsidP="008E6DCF">
            <w:r>
              <w:t xml:space="preserve">The Initiators introduce the idea of a merger between academic units to their respective faculty governance groups (Process A, </w:t>
            </w:r>
            <w:r w:rsidRPr="00501521">
              <w:rPr>
                <w:rStyle w:val="IntenseReference"/>
              </w:rPr>
              <w:fldChar w:fldCharType="begin"/>
            </w:r>
            <w:r w:rsidRPr="00501521">
              <w:rPr>
                <w:rStyle w:val="IntenseReference"/>
              </w:rPr>
              <w:instrText xml:space="preserve"> REF _Ref471917868 \r \h  \* MERGEFORMAT </w:instrText>
            </w:r>
            <w:r w:rsidRPr="00501521">
              <w:rPr>
                <w:rStyle w:val="IntenseReference"/>
              </w:rPr>
            </w:r>
            <w:r w:rsidRPr="00501521">
              <w:rPr>
                <w:rStyle w:val="IntenseReference"/>
              </w:rPr>
              <w:fldChar w:fldCharType="separate"/>
            </w:r>
            <w:r w:rsidRPr="00501521">
              <w:rPr>
                <w:rStyle w:val="IntenseReference"/>
              </w:rPr>
              <w:t>2.a</w:t>
            </w:r>
            <w:r w:rsidRPr="00501521">
              <w:rPr>
                <w:rStyle w:val="IntenseReference"/>
              </w:rPr>
              <w:fldChar w:fldCharType="end"/>
            </w:r>
            <w:r>
              <w:t>).</w:t>
            </w:r>
          </w:p>
        </w:tc>
      </w:tr>
      <w:tr w:rsidR="00D3755F" w14:paraId="33310D2E" w14:textId="77777777" w:rsidTr="00016A0F">
        <w:tc>
          <w:tcPr>
            <w:tcW w:w="0" w:type="auto"/>
          </w:tcPr>
          <w:p w14:paraId="533BE1BF" w14:textId="77777777" w:rsidR="00D3755F" w:rsidRDefault="00D3755F" w:rsidP="008E6DCF"/>
        </w:tc>
        <w:tc>
          <w:tcPr>
            <w:tcW w:w="0" w:type="auto"/>
          </w:tcPr>
          <w:p w14:paraId="3B5035B4" w14:textId="7BD3694F" w:rsidR="00D3755F" w:rsidRDefault="00D3755F" w:rsidP="008E6DCF">
            <w:r>
              <w:t>November</w:t>
            </w:r>
          </w:p>
        </w:tc>
        <w:tc>
          <w:tcPr>
            <w:tcW w:w="0" w:type="auto"/>
          </w:tcPr>
          <w:p w14:paraId="0F2901A7" w14:textId="7E92CDD4" w:rsidR="00D3755F" w:rsidRDefault="00D3755F" w:rsidP="008E6DCF">
            <w:r>
              <w:t>The faculty governance groups from each affected unit issue statements to their Deans and th</w:t>
            </w:r>
            <w:r w:rsidR="009335B1">
              <w:t xml:space="preserve">e Deans of other affected units (Process A, </w:t>
            </w:r>
            <w:r w:rsidR="009335B1" w:rsidRPr="004968A0">
              <w:rPr>
                <w:rStyle w:val="IntenseReference"/>
              </w:rPr>
              <w:fldChar w:fldCharType="begin"/>
            </w:r>
            <w:r w:rsidR="009335B1" w:rsidRPr="004968A0">
              <w:rPr>
                <w:rStyle w:val="IntenseReference"/>
              </w:rPr>
              <w:instrText xml:space="preserve"> REF _Ref471918117 \r \h </w:instrText>
            </w:r>
            <w:r w:rsidR="009335B1">
              <w:rPr>
                <w:rStyle w:val="IntenseReference"/>
              </w:rPr>
              <w:instrText xml:space="preserve"> \* MERGEFORMAT </w:instrText>
            </w:r>
            <w:r w:rsidR="009335B1" w:rsidRPr="004968A0">
              <w:rPr>
                <w:rStyle w:val="IntenseReference"/>
              </w:rPr>
            </w:r>
            <w:r w:rsidR="009335B1" w:rsidRPr="004968A0">
              <w:rPr>
                <w:rStyle w:val="IntenseReference"/>
              </w:rPr>
              <w:fldChar w:fldCharType="separate"/>
            </w:r>
            <w:r w:rsidR="009335B1" w:rsidRPr="004968A0">
              <w:rPr>
                <w:rStyle w:val="IntenseReference"/>
              </w:rPr>
              <w:t>2.b</w:t>
            </w:r>
            <w:r w:rsidR="009335B1" w:rsidRPr="004968A0">
              <w:rPr>
                <w:rStyle w:val="IntenseReference"/>
              </w:rPr>
              <w:fldChar w:fldCharType="end"/>
            </w:r>
            <w:r w:rsidR="009335B1">
              <w:t>).</w:t>
            </w:r>
          </w:p>
        </w:tc>
      </w:tr>
      <w:tr w:rsidR="00D3755F" w14:paraId="1160A16C" w14:textId="77777777" w:rsidTr="00016A0F">
        <w:tc>
          <w:tcPr>
            <w:tcW w:w="0" w:type="auto"/>
          </w:tcPr>
          <w:p w14:paraId="0D23F036" w14:textId="431D6A80" w:rsidR="00D3755F" w:rsidRDefault="00D3755F" w:rsidP="008E6DCF">
            <w:r>
              <w:t>2017</w:t>
            </w:r>
          </w:p>
        </w:tc>
        <w:tc>
          <w:tcPr>
            <w:tcW w:w="0" w:type="auto"/>
          </w:tcPr>
          <w:p w14:paraId="36C2F7DF" w14:textId="5A8B882A" w:rsidR="00D3755F" w:rsidRDefault="00D3755F" w:rsidP="008E6DCF">
            <w:r>
              <w:t>February</w:t>
            </w:r>
          </w:p>
        </w:tc>
        <w:tc>
          <w:tcPr>
            <w:tcW w:w="0" w:type="auto"/>
          </w:tcPr>
          <w:p w14:paraId="70ABFEF3" w14:textId="6E217D45" w:rsidR="00D3755F" w:rsidRDefault="00D3755F" w:rsidP="009335B1">
            <w:r>
              <w:t>The Deans of affected units issue their statements in reply to the faculty governance groups; all statements sent to Faculty Senate</w:t>
            </w:r>
            <w:r w:rsidR="009335B1">
              <w:t xml:space="preserve"> (Process A, </w:t>
            </w:r>
            <w:r w:rsidR="009335B1" w:rsidRPr="009335B1">
              <w:rPr>
                <w:rStyle w:val="IntenseReference"/>
              </w:rPr>
              <w:fldChar w:fldCharType="begin"/>
            </w:r>
            <w:r w:rsidR="009335B1" w:rsidRPr="009335B1">
              <w:rPr>
                <w:rStyle w:val="IntenseReference"/>
              </w:rPr>
              <w:instrText xml:space="preserve"> REF _Ref472428397 \r \h </w:instrText>
            </w:r>
            <w:r w:rsidR="009335B1">
              <w:rPr>
                <w:rStyle w:val="IntenseReference"/>
              </w:rPr>
              <w:instrText xml:space="preserve"> \* MERGEFORMAT </w:instrText>
            </w:r>
            <w:r w:rsidR="009335B1" w:rsidRPr="009335B1">
              <w:rPr>
                <w:rStyle w:val="IntenseReference"/>
              </w:rPr>
            </w:r>
            <w:r w:rsidR="009335B1" w:rsidRPr="009335B1">
              <w:rPr>
                <w:rStyle w:val="IntenseReference"/>
              </w:rPr>
              <w:fldChar w:fldCharType="separate"/>
            </w:r>
            <w:r w:rsidR="009335B1" w:rsidRPr="009335B1">
              <w:rPr>
                <w:rStyle w:val="IntenseReference"/>
              </w:rPr>
              <w:t>3.a</w:t>
            </w:r>
            <w:r w:rsidR="009335B1" w:rsidRPr="009335B1">
              <w:rPr>
                <w:rStyle w:val="IntenseReference"/>
              </w:rPr>
              <w:fldChar w:fldCharType="end"/>
            </w:r>
            <w:r w:rsidR="009335B1">
              <w:t>).</w:t>
            </w:r>
          </w:p>
        </w:tc>
      </w:tr>
      <w:tr w:rsidR="00D3755F" w14:paraId="580C4828" w14:textId="77777777" w:rsidTr="00016A0F">
        <w:tc>
          <w:tcPr>
            <w:tcW w:w="0" w:type="auto"/>
          </w:tcPr>
          <w:p w14:paraId="70CCC8C5" w14:textId="77777777" w:rsidR="00D3755F" w:rsidRDefault="00D3755F" w:rsidP="008E6DCF"/>
        </w:tc>
        <w:tc>
          <w:tcPr>
            <w:tcW w:w="0" w:type="auto"/>
          </w:tcPr>
          <w:p w14:paraId="7B3F2500" w14:textId="6A391460" w:rsidR="00D3755F" w:rsidRDefault="00D3755F" w:rsidP="008E6DCF">
            <w:r>
              <w:t>April</w:t>
            </w:r>
          </w:p>
        </w:tc>
        <w:tc>
          <w:tcPr>
            <w:tcW w:w="0" w:type="auto"/>
          </w:tcPr>
          <w:p w14:paraId="407B5F85" w14:textId="657A41BA" w:rsidR="00D3755F" w:rsidRDefault="00D3755F" w:rsidP="008E6DCF">
            <w:r>
              <w:t>After reviewing the statements, the Faculty Senate makes an advisory vote and forwards any feedback and all statements to the Provost</w:t>
            </w:r>
            <w:r w:rsidR="00615647">
              <w:t xml:space="preserve"> (Process A, </w:t>
            </w:r>
            <w:r w:rsidR="00615647" w:rsidRPr="00615647">
              <w:rPr>
                <w:rStyle w:val="IntenseReference"/>
              </w:rPr>
              <w:fldChar w:fldCharType="begin"/>
            </w:r>
            <w:r w:rsidR="00615647" w:rsidRPr="00615647">
              <w:rPr>
                <w:rStyle w:val="IntenseReference"/>
              </w:rPr>
              <w:instrText xml:space="preserve"> REF _Ref471989541 \r \h </w:instrText>
            </w:r>
            <w:r w:rsidR="00615647">
              <w:rPr>
                <w:rStyle w:val="IntenseReference"/>
              </w:rPr>
              <w:instrText xml:space="preserve"> \* MERGEFORMAT </w:instrText>
            </w:r>
            <w:r w:rsidR="00615647" w:rsidRPr="00615647">
              <w:rPr>
                <w:rStyle w:val="IntenseReference"/>
              </w:rPr>
            </w:r>
            <w:r w:rsidR="00615647" w:rsidRPr="00615647">
              <w:rPr>
                <w:rStyle w:val="IntenseReference"/>
              </w:rPr>
              <w:fldChar w:fldCharType="separate"/>
            </w:r>
            <w:r w:rsidR="00615647" w:rsidRPr="00615647">
              <w:rPr>
                <w:rStyle w:val="IntenseReference"/>
              </w:rPr>
              <w:t>3.c</w:t>
            </w:r>
            <w:r w:rsidR="00615647" w:rsidRPr="00615647">
              <w:rPr>
                <w:rStyle w:val="IntenseReference"/>
              </w:rPr>
              <w:fldChar w:fldCharType="end"/>
            </w:r>
            <w:r w:rsidR="00615647">
              <w:t>).</w:t>
            </w:r>
          </w:p>
        </w:tc>
      </w:tr>
      <w:tr w:rsidR="00E669A5" w14:paraId="0D27BB9E" w14:textId="77777777" w:rsidTr="00016A0F">
        <w:tc>
          <w:tcPr>
            <w:tcW w:w="0" w:type="auto"/>
          </w:tcPr>
          <w:p w14:paraId="013EED56" w14:textId="77777777" w:rsidR="00E669A5" w:rsidRDefault="00E669A5" w:rsidP="008E6DCF"/>
        </w:tc>
        <w:tc>
          <w:tcPr>
            <w:tcW w:w="0" w:type="auto"/>
          </w:tcPr>
          <w:p w14:paraId="6623A7A0" w14:textId="48556082" w:rsidR="00E669A5" w:rsidRDefault="00E669A5" w:rsidP="008E6DCF">
            <w:r>
              <w:t>May</w:t>
            </w:r>
          </w:p>
        </w:tc>
        <w:tc>
          <w:tcPr>
            <w:tcW w:w="0" w:type="auto"/>
          </w:tcPr>
          <w:p w14:paraId="00E2857D" w14:textId="080004F0" w:rsidR="00E669A5" w:rsidRDefault="00E669A5" w:rsidP="008E6DCF">
            <w:r>
              <w:t>The Provost reviews all statements, provides feedback, and passes everything along to the Chancellor</w:t>
            </w:r>
            <w:r w:rsidR="00615647">
              <w:t xml:space="preserve"> (Process A, </w:t>
            </w:r>
            <w:r w:rsidR="00615647" w:rsidRPr="00615647">
              <w:rPr>
                <w:rStyle w:val="IntenseReference"/>
              </w:rPr>
              <w:fldChar w:fldCharType="begin"/>
            </w:r>
            <w:r w:rsidR="00615647" w:rsidRPr="00615647">
              <w:rPr>
                <w:rStyle w:val="IntenseReference"/>
              </w:rPr>
              <w:instrText xml:space="preserve"> REF _Ref471990137 \r \h </w:instrText>
            </w:r>
            <w:r w:rsidR="00615647">
              <w:rPr>
                <w:rStyle w:val="IntenseReference"/>
              </w:rPr>
              <w:instrText xml:space="preserve"> \* MERGEFORMAT </w:instrText>
            </w:r>
            <w:r w:rsidR="00615647" w:rsidRPr="00615647">
              <w:rPr>
                <w:rStyle w:val="IntenseReference"/>
              </w:rPr>
            </w:r>
            <w:r w:rsidR="00615647" w:rsidRPr="00615647">
              <w:rPr>
                <w:rStyle w:val="IntenseReference"/>
              </w:rPr>
              <w:fldChar w:fldCharType="separate"/>
            </w:r>
            <w:r w:rsidR="00615647" w:rsidRPr="00615647">
              <w:rPr>
                <w:rStyle w:val="IntenseReference"/>
              </w:rPr>
              <w:t>4</w:t>
            </w:r>
            <w:r w:rsidR="00615647" w:rsidRPr="00615647">
              <w:rPr>
                <w:rStyle w:val="IntenseReference"/>
              </w:rPr>
              <w:fldChar w:fldCharType="end"/>
            </w:r>
            <w:r w:rsidR="00615647">
              <w:t>).</w:t>
            </w:r>
          </w:p>
        </w:tc>
      </w:tr>
      <w:tr w:rsidR="00070813" w14:paraId="546325C2" w14:textId="77777777" w:rsidTr="00016A0F">
        <w:tc>
          <w:tcPr>
            <w:tcW w:w="0" w:type="auto"/>
          </w:tcPr>
          <w:p w14:paraId="529E8C8D" w14:textId="77777777" w:rsidR="00070813" w:rsidRDefault="00070813" w:rsidP="008E6DCF"/>
        </w:tc>
        <w:tc>
          <w:tcPr>
            <w:tcW w:w="0" w:type="auto"/>
          </w:tcPr>
          <w:p w14:paraId="2782E959" w14:textId="07FB6E07" w:rsidR="00070813" w:rsidRDefault="00DC5D2F" w:rsidP="008E6DCF">
            <w:r>
              <w:t>September</w:t>
            </w:r>
          </w:p>
        </w:tc>
        <w:tc>
          <w:tcPr>
            <w:tcW w:w="0" w:type="auto"/>
          </w:tcPr>
          <w:p w14:paraId="643EB2ED" w14:textId="2057CBC6" w:rsidR="00070813" w:rsidRDefault="00DC5D2F" w:rsidP="008E6DCF">
            <w:r>
              <w:t xml:space="preserve">The Chancellor and Provost appoint the Reorganization Study Committee (Process B, </w:t>
            </w:r>
            <w:r w:rsidRPr="00DC5D2F">
              <w:rPr>
                <w:rStyle w:val="IntenseReference"/>
              </w:rPr>
              <w:fldChar w:fldCharType="begin"/>
            </w:r>
            <w:r w:rsidRPr="00DC5D2F">
              <w:rPr>
                <w:rStyle w:val="IntenseReference"/>
              </w:rPr>
              <w:instrText xml:space="preserve"> REF _Ref471990328 \r \h </w:instrText>
            </w:r>
            <w:r>
              <w:rPr>
                <w:rStyle w:val="IntenseReference"/>
              </w:rPr>
              <w:instrText xml:space="preserve"> \* MERGEFORMAT </w:instrText>
            </w:r>
            <w:r w:rsidRPr="00DC5D2F">
              <w:rPr>
                <w:rStyle w:val="IntenseReference"/>
              </w:rPr>
            </w:r>
            <w:r w:rsidRPr="00DC5D2F">
              <w:rPr>
                <w:rStyle w:val="IntenseReference"/>
              </w:rPr>
              <w:fldChar w:fldCharType="separate"/>
            </w:r>
            <w:r w:rsidRPr="00DC5D2F">
              <w:rPr>
                <w:rStyle w:val="IntenseReference"/>
              </w:rPr>
              <w:t>2</w:t>
            </w:r>
            <w:r w:rsidRPr="00DC5D2F">
              <w:rPr>
                <w:rStyle w:val="IntenseReference"/>
              </w:rPr>
              <w:fldChar w:fldCharType="end"/>
            </w:r>
            <w:r>
              <w:t>).</w:t>
            </w:r>
          </w:p>
        </w:tc>
      </w:tr>
      <w:tr w:rsidR="00DC5D2F" w14:paraId="45480CA5" w14:textId="77777777" w:rsidTr="00016A0F">
        <w:tc>
          <w:tcPr>
            <w:tcW w:w="0" w:type="auto"/>
          </w:tcPr>
          <w:p w14:paraId="75B5D9CC" w14:textId="7C29AFE0" w:rsidR="00DC5D2F" w:rsidRDefault="00615647" w:rsidP="008E6DCF">
            <w:r>
              <w:t>2018</w:t>
            </w:r>
          </w:p>
        </w:tc>
        <w:tc>
          <w:tcPr>
            <w:tcW w:w="0" w:type="auto"/>
          </w:tcPr>
          <w:p w14:paraId="5C71582D" w14:textId="63312FA3" w:rsidR="00DC5D2F" w:rsidRDefault="00DC5D2F" w:rsidP="008E6DCF">
            <w:r>
              <w:t>May</w:t>
            </w:r>
          </w:p>
        </w:tc>
        <w:tc>
          <w:tcPr>
            <w:tcW w:w="0" w:type="auto"/>
          </w:tcPr>
          <w:p w14:paraId="035093F0" w14:textId="3CDB931E" w:rsidR="00DC5D2F" w:rsidRDefault="00DC5D2F" w:rsidP="008E6DCF">
            <w:r>
              <w:t xml:space="preserve">The Reorganization Study Committee submits a final report to the Provost (Process B, </w:t>
            </w:r>
            <w:r w:rsidRPr="00DC5D2F">
              <w:rPr>
                <w:rStyle w:val="IntenseReference"/>
              </w:rPr>
              <w:fldChar w:fldCharType="begin"/>
            </w:r>
            <w:r w:rsidRPr="00DC5D2F">
              <w:rPr>
                <w:rStyle w:val="IntenseReference"/>
              </w:rPr>
              <w:instrText xml:space="preserve"> REF _Ref471990472 \r \h </w:instrText>
            </w:r>
            <w:r>
              <w:rPr>
                <w:rStyle w:val="IntenseReference"/>
              </w:rPr>
              <w:instrText xml:space="preserve"> \* MERGEFORMAT </w:instrText>
            </w:r>
            <w:r w:rsidRPr="00DC5D2F">
              <w:rPr>
                <w:rStyle w:val="IntenseReference"/>
              </w:rPr>
            </w:r>
            <w:r w:rsidRPr="00DC5D2F">
              <w:rPr>
                <w:rStyle w:val="IntenseReference"/>
              </w:rPr>
              <w:fldChar w:fldCharType="separate"/>
            </w:r>
            <w:r w:rsidRPr="00DC5D2F">
              <w:rPr>
                <w:rStyle w:val="IntenseReference"/>
              </w:rPr>
              <w:t>7</w:t>
            </w:r>
            <w:r w:rsidRPr="00DC5D2F">
              <w:rPr>
                <w:rStyle w:val="IntenseReference"/>
              </w:rPr>
              <w:fldChar w:fldCharType="end"/>
            </w:r>
            <w:r>
              <w:t>).</w:t>
            </w:r>
          </w:p>
        </w:tc>
      </w:tr>
      <w:tr w:rsidR="00DC5D2F" w14:paraId="0975E827" w14:textId="77777777" w:rsidTr="00016A0F">
        <w:tc>
          <w:tcPr>
            <w:tcW w:w="0" w:type="auto"/>
          </w:tcPr>
          <w:p w14:paraId="2BE19F12" w14:textId="77777777" w:rsidR="00DC5D2F" w:rsidRDefault="00DC5D2F" w:rsidP="008E6DCF"/>
        </w:tc>
        <w:tc>
          <w:tcPr>
            <w:tcW w:w="0" w:type="auto"/>
          </w:tcPr>
          <w:p w14:paraId="09A03CCD" w14:textId="7DD90FF9" w:rsidR="00DC5D2F" w:rsidRDefault="00AC1DF9" w:rsidP="008E6DCF">
            <w:r>
              <w:t>September</w:t>
            </w:r>
          </w:p>
        </w:tc>
        <w:tc>
          <w:tcPr>
            <w:tcW w:w="0" w:type="auto"/>
          </w:tcPr>
          <w:p w14:paraId="63492DFB" w14:textId="4A5BC576" w:rsidR="00DC5D2F" w:rsidRDefault="00AC1DF9" w:rsidP="008E6DCF">
            <w:r>
              <w:t xml:space="preserve">The Provost appoints a Reorganization Implementation Committee (Process B, </w:t>
            </w:r>
            <w:r w:rsidRPr="00AC1DF9">
              <w:rPr>
                <w:rStyle w:val="IntenseReference"/>
              </w:rPr>
              <w:fldChar w:fldCharType="begin"/>
            </w:r>
            <w:r w:rsidRPr="00AC1DF9">
              <w:rPr>
                <w:rStyle w:val="IntenseReference"/>
              </w:rPr>
              <w:instrText xml:space="preserve"> REF _Ref471990823 \r \h </w:instrText>
            </w:r>
            <w:r>
              <w:rPr>
                <w:rStyle w:val="IntenseReference"/>
              </w:rPr>
              <w:instrText xml:space="preserve"> \* MERGEFORMAT </w:instrText>
            </w:r>
            <w:r w:rsidRPr="00AC1DF9">
              <w:rPr>
                <w:rStyle w:val="IntenseReference"/>
              </w:rPr>
            </w:r>
            <w:r w:rsidRPr="00AC1DF9">
              <w:rPr>
                <w:rStyle w:val="IntenseReference"/>
              </w:rPr>
              <w:fldChar w:fldCharType="separate"/>
            </w:r>
            <w:r w:rsidRPr="00AC1DF9">
              <w:rPr>
                <w:rStyle w:val="IntenseReference"/>
              </w:rPr>
              <w:t>8</w:t>
            </w:r>
            <w:r w:rsidRPr="00AC1DF9">
              <w:rPr>
                <w:rStyle w:val="IntenseReference"/>
              </w:rPr>
              <w:fldChar w:fldCharType="end"/>
            </w:r>
            <w:r>
              <w:t>).</w:t>
            </w:r>
          </w:p>
        </w:tc>
      </w:tr>
      <w:tr w:rsidR="00DC5D2F" w14:paraId="4CCA0307" w14:textId="77777777" w:rsidTr="00016A0F">
        <w:tc>
          <w:tcPr>
            <w:tcW w:w="0" w:type="auto"/>
          </w:tcPr>
          <w:p w14:paraId="2A44726A" w14:textId="36C6676E" w:rsidR="00DC5D2F" w:rsidRDefault="00615647" w:rsidP="008E6DCF">
            <w:r>
              <w:t>2019</w:t>
            </w:r>
          </w:p>
        </w:tc>
        <w:tc>
          <w:tcPr>
            <w:tcW w:w="0" w:type="auto"/>
          </w:tcPr>
          <w:p w14:paraId="1EE61A83" w14:textId="3DB31A15" w:rsidR="00DC5D2F" w:rsidRDefault="00AC1DF9" w:rsidP="008E6DCF">
            <w:r>
              <w:t>February</w:t>
            </w:r>
          </w:p>
        </w:tc>
        <w:tc>
          <w:tcPr>
            <w:tcW w:w="0" w:type="auto"/>
          </w:tcPr>
          <w:p w14:paraId="7C93CA6F" w14:textId="240868D9" w:rsidR="00DC5D2F" w:rsidRDefault="00AC1DF9" w:rsidP="008E6DCF">
            <w:r>
              <w:t xml:space="preserve">The Reorganization Implementation Committee makes a recommendation to the Provost (Process B, </w:t>
            </w:r>
            <w:r w:rsidRPr="00AC1DF9">
              <w:rPr>
                <w:rStyle w:val="IntenseReference"/>
              </w:rPr>
              <w:fldChar w:fldCharType="begin"/>
            </w:r>
            <w:r w:rsidRPr="00AC1DF9">
              <w:rPr>
                <w:rStyle w:val="IntenseReference"/>
              </w:rPr>
              <w:instrText xml:space="preserve"> REF _Ref471991043 \r \h </w:instrText>
            </w:r>
            <w:r>
              <w:rPr>
                <w:rStyle w:val="IntenseReference"/>
              </w:rPr>
              <w:instrText xml:space="preserve"> \* MERGEFORMAT </w:instrText>
            </w:r>
            <w:r w:rsidRPr="00AC1DF9">
              <w:rPr>
                <w:rStyle w:val="IntenseReference"/>
              </w:rPr>
            </w:r>
            <w:r w:rsidRPr="00AC1DF9">
              <w:rPr>
                <w:rStyle w:val="IntenseReference"/>
              </w:rPr>
              <w:fldChar w:fldCharType="separate"/>
            </w:r>
            <w:r w:rsidRPr="00AC1DF9">
              <w:rPr>
                <w:rStyle w:val="IntenseReference"/>
              </w:rPr>
              <w:t>8.d</w:t>
            </w:r>
            <w:r w:rsidRPr="00AC1DF9">
              <w:rPr>
                <w:rStyle w:val="IntenseReference"/>
              </w:rPr>
              <w:fldChar w:fldCharType="end"/>
            </w:r>
            <w:r>
              <w:t>). The Provost shares the recommendation with Deans and Faculty Chairs of affected units</w:t>
            </w:r>
            <w:r w:rsidR="0046688B">
              <w:t xml:space="preserve">. (Process B, </w:t>
            </w:r>
            <w:r w:rsidR="0046688B" w:rsidRPr="0046688B">
              <w:rPr>
                <w:rStyle w:val="IntenseReference"/>
              </w:rPr>
              <w:fldChar w:fldCharType="begin"/>
            </w:r>
            <w:r w:rsidR="0046688B" w:rsidRPr="0046688B">
              <w:rPr>
                <w:rStyle w:val="IntenseReference"/>
              </w:rPr>
              <w:instrText xml:space="preserve"> REF _Ref471991297 \r \h </w:instrText>
            </w:r>
            <w:r w:rsidR="0046688B">
              <w:rPr>
                <w:rStyle w:val="IntenseReference"/>
              </w:rPr>
              <w:instrText xml:space="preserve"> \* MERGEFORMAT </w:instrText>
            </w:r>
            <w:r w:rsidR="0046688B" w:rsidRPr="0046688B">
              <w:rPr>
                <w:rStyle w:val="IntenseReference"/>
              </w:rPr>
            </w:r>
            <w:r w:rsidR="0046688B" w:rsidRPr="0046688B">
              <w:rPr>
                <w:rStyle w:val="IntenseReference"/>
              </w:rPr>
              <w:fldChar w:fldCharType="separate"/>
            </w:r>
            <w:r w:rsidR="0046688B" w:rsidRPr="0046688B">
              <w:rPr>
                <w:rStyle w:val="IntenseReference"/>
              </w:rPr>
              <w:t>9</w:t>
            </w:r>
            <w:r w:rsidR="0046688B" w:rsidRPr="0046688B">
              <w:rPr>
                <w:rStyle w:val="IntenseReference"/>
              </w:rPr>
              <w:fldChar w:fldCharType="end"/>
            </w:r>
            <w:r w:rsidR="0046688B">
              <w:t>).</w:t>
            </w:r>
          </w:p>
        </w:tc>
      </w:tr>
      <w:tr w:rsidR="00DC5D2F" w14:paraId="0B8521EA" w14:textId="77777777" w:rsidTr="00016A0F">
        <w:tc>
          <w:tcPr>
            <w:tcW w:w="0" w:type="auto"/>
          </w:tcPr>
          <w:p w14:paraId="14358E7B" w14:textId="77777777" w:rsidR="00DC5D2F" w:rsidRDefault="00DC5D2F" w:rsidP="008E6DCF"/>
        </w:tc>
        <w:tc>
          <w:tcPr>
            <w:tcW w:w="0" w:type="auto"/>
          </w:tcPr>
          <w:p w14:paraId="65A7BB01" w14:textId="15621523" w:rsidR="00DC5D2F" w:rsidRDefault="00AC1DF9" w:rsidP="008E6DCF">
            <w:r>
              <w:t>March</w:t>
            </w:r>
          </w:p>
        </w:tc>
        <w:tc>
          <w:tcPr>
            <w:tcW w:w="0" w:type="auto"/>
          </w:tcPr>
          <w:p w14:paraId="6EBE09A6" w14:textId="5D6C689D" w:rsidR="00DC5D2F" w:rsidRDefault="0046688B" w:rsidP="008E6DCF">
            <w:r>
              <w:t>The affected units’ faculty governance groups review and discuss the recommendation.</w:t>
            </w:r>
          </w:p>
        </w:tc>
      </w:tr>
      <w:tr w:rsidR="00DC5D2F" w14:paraId="5D93BE61" w14:textId="77777777" w:rsidTr="00016A0F">
        <w:tc>
          <w:tcPr>
            <w:tcW w:w="0" w:type="auto"/>
          </w:tcPr>
          <w:p w14:paraId="00832A53" w14:textId="77777777" w:rsidR="00DC5D2F" w:rsidRDefault="00DC5D2F" w:rsidP="008E6DCF"/>
        </w:tc>
        <w:tc>
          <w:tcPr>
            <w:tcW w:w="0" w:type="auto"/>
          </w:tcPr>
          <w:p w14:paraId="42FB7237" w14:textId="6EDDC8ED" w:rsidR="00DC5D2F" w:rsidRDefault="0046688B" w:rsidP="008E6DCF">
            <w:r>
              <w:t>May</w:t>
            </w:r>
          </w:p>
        </w:tc>
        <w:tc>
          <w:tcPr>
            <w:tcW w:w="0" w:type="auto"/>
          </w:tcPr>
          <w:p w14:paraId="43598D6F" w14:textId="5CD7BCAF" w:rsidR="00DC5D2F" w:rsidRDefault="0046688B" w:rsidP="008E6DCF">
            <w:r>
              <w:t xml:space="preserve">The affected units’ faculty governance groups vote on the recommendation (Process B, </w:t>
            </w:r>
            <w:r w:rsidRPr="0046688B">
              <w:rPr>
                <w:rStyle w:val="IntenseReference"/>
              </w:rPr>
              <w:fldChar w:fldCharType="begin"/>
            </w:r>
            <w:r w:rsidRPr="0046688B">
              <w:rPr>
                <w:rStyle w:val="IntenseReference"/>
              </w:rPr>
              <w:instrText xml:space="preserve"> REF _Ref471991391 \r \h </w:instrText>
            </w:r>
            <w:r>
              <w:rPr>
                <w:rStyle w:val="IntenseReference"/>
              </w:rPr>
              <w:instrText xml:space="preserve"> \* MERGEFORMAT </w:instrText>
            </w:r>
            <w:r w:rsidRPr="0046688B">
              <w:rPr>
                <w:rStyle w:val="IntenseReference"/>
              </w:rPr>
            </w:r>
            <w:r w:rsidRPr="0046688B">
              <w:rPr>
                <w:rStyle w:val="IntenseReference"/>
              </w:rPr>
              <w:fldChar w:fldCharType="separate"/>
            </w:r>
            <w:r w:rsidRPr="0046688B">
              <w:rPr>
                <w:rStyle w:val="IntenseReference"/>
              </w:rPr>
              <w:t>9.a</w:t>
            </w:r>
            <w:r w:rsidRPr="0046688B">
              <w:rPr>
                <w:rStyle w:val="IntenseReference"/>
              </w:rPr>
              <w:fldChar w:fldCharType="end"/>
            </w:r>
            <w:r>
              <w:t>).</w:t>
            </w:r>
          </w:p>
        </w:tc>
      </w:tr>
      <w:tr w:rsidR="0046688B" w14:paraId="34A69ED1" w14:textId="77777777" w:rsidTr="00016A0F">
        <w:tc>
          <w:tcPr>
            <w:tcW w:w="0" w:type="auto"/>
          </w:tcPr>
          <w:p w14:paraId="0DC91956" w14:textId="77777777" w:rsidR="0046688B" w:rsidRDefault="0046688B" w:rsidP="008E6DCF"/>
        </w:tc>
        <w:tc>
          <w:tcPr>
            <w:tcW w:w="0" w:type="auto"/>
          </w:tcPr>
          <w:p w14:paraId="76DDC2CB" w14:textId="77E07080" w:rsidR="0046688B" w:rsidRDefault="0046688B" w:rsidP="008E6DCF">
            <w:r>
              <w:t>September</w:t>
            </w:r>
          </w:p>
        </w:tc>
        <w:tc>
          <w:tcPr>
            <w:tcW w:w="0" w:type="auto"/>
          </w:tcPr>
          <w:p w14:paraId="3486DBAF" w14:textId="054365F8" w:rsidR="0046688B" w:rsidRDefault="0046688B" w:rsidP="008E6DCF">
            <w:r>
              <w:t xml:space="preserve">The Provost shares the recommendation, the voting results, and any statements, with the Faculty Senate (Process B, </w:t>
            </w:r>
            <w:r w:rsidRPr="0046688B">
              <w:rPr>
                <w:rStyle w:val="IntenseReference"/>
              </w:rPr>
              <w:fldChar w:fldCharType="begin"/>
            </w:r>
            <w:r w:rsidRPr="0046688B">
              <w:rPr>
                <w:rStyle w:val="IntenseReference"/>
              </w:rPr>
              <w:instrText xml:space="preserve"> REF _Ref471991606 \r \h </w:instrText>
            </w:r>
            <w:r>
              <w:rPr>
                <w:rStyle w:val="IntenseReference"/>
              </w:rPr>
              <w:instrText xml:space="preserve"> \* MERGEFORMAT </w:instrText>
            </w:r>
            <w:r w:rsidRPr="0046688B">
              <w:rPr>
                <w:rStyle w:val="IntenseReference"/>
              </w:rPr>
            </w:r>
            <w:r w:rsidRPr="0046688B">
              <w:rPr>
                <w:rStyle w:val="IntenseReference"/>
              </w:rPr>
              <w:fldChar w:fldCharType="separate"/>
            </w:r>
            <w:r w:rsidRPr="0046688B">
              <w:rPr>
                <w:rStyle w:val="IntenseReference"/>
              </w:rPr>
              <w:t>10</w:t>
            </w:r>
            <w:r w:rsidRPr="0046688B">
              <w:rPr>
                <w:rStyle w:val="IntenseReference"/>
              </w:rPr>
              <w:fldChar w:fldCharType="end"/>
            </w:r>
            <w:r>
              <w:t>).</w:t>
            </w:r>
          </w:p>
        </w:tc>
      </w:tr>
      <w:tr w:rsidR="0046688B" w14:paraId="3A6AA129" w14:textId="77777777" w:rsidTr="00016A0F">
        <w:tc>
          <w:tcPr>
            <w:tcW w:w="0" w:type="auto"/>
          </w:tcPr>
          <w:p w14:paraId="5BD20B65" w14:textId="77777777" w:rsidR="0046688B" w:rsidRDefault="0046688B" w:rsidP="008E6DCF"/>
        </w:tc>
        <w:tc>
          <w:tcPr>
            <w:tcW w:w="0" w:type="auto"/>
          </w:tcPr>
          <w:p w14:paraId="240C0785" w14:textId="43EC6A5A" w:rsidR="0046688B" w:rsidRDefault="008F2A63" w:rsidP="008E6DCF">
            <w:r>
              <w:t>October</w:t>
            </w:r>
          </w:p>
        </w:tc>
        <w:tc>
          <w:tcPr>
            <w:tcW w:w="0" w:type="auto"/>
          </w:tcPr>
          <w:p w14:paraId="7C894D62" w14:textId="2F38F063" w:rsidR="0046688B" w:rsidRDefault="008F2A63" w:rsidP="008E6DCF">
            <w:r>
              <w:t xml:space="preserve">The Faculty Senate votes on the recommendation (Process B, </w:t>
            </w:r>
            <w:r w:rsidRPr="008F2A63">
              <w:rPr>
                <w:rStyle w:val="IntenseReference"/>
              </w:rPr>
              <w:fldChar w:fldCharType="begin"/>
            </w:r>
            <w:r w:rsidRPr="008F2A63">
              <w:rPr>
                <w:rStyle w:val="IntenseReference"/>
              </w:rPr>
              <w:instrText xml:space="preserve"> REF _Ref471992588 \r \h </w:instrText>
            </w:r>
            <w:r>
              <w:rPr>
                <w:rStyle w:val="IntenseReference"/>
              </w:rPr>
              <w:instrText xml:space="preserve"> \* MERGEFORMAT </w:instrText>
            </w:r>
            <w:r w:rsidRPr="008F2A63">
              <w:rPr>
                <w:rStyle w:val="IntenseReference"/>
              </w:rPr>
            </w:r>
            <w:r w:rsidRPr="008F2A63">
              <w:rPr>
                <w:rStyle w:val="IntenseReference"/>
              </w:rPr>
              <w:fldChar w:fldCharType="separate"/>
            </w:r>
            <w:r w:rsidRPr="008F2A63">
              <w:rPr>
                <w:rStyle w:val="IntenseReference"/>
              </w:rPr>
              <w:t>10.a</w:t>
            </w:r>
            <w:r w:rsidRPr="008F2A63">
              <w:rPr>
                <w:rStyle w:val="IntenseReference"/>
              </w:rPr>
              <w:fldChar w:fldCharType="end"/>
            </w:r>
            <w:r>
              <w:t>).</w:t>
            </w:r>
          </w:p>
        </w:tc>
      </w:tr>
      <w:tr w:rsidR="0046688B" w14:paraId="555379F0" w14:textId="77777777" w:rsidTr="00016A0F">
        <w:tc>
          <w:tcPr>
            <w:tcW w:w="0" w:type="auto"/>
          </w:tcPr>
          <w:p w14:paraId="1CF93194" w14:textId="77777777" w:rsidR="0046688B" w:rsidRDefault="0046688B" w:rsidP="008E6DCF"/>
        </w:tc>
        <w:tc>
          <w:tcPr>
            <w:tcW w:w="0" w:type="auto"/>
          </w:tcPr>
          <w:p w14:paraId="1EEFBE6E" w14:textId="366AD9F6" w:rsidR="0046688B" w:rsidRDefault="008F2A63" w:rsidP="008E6DCF">
            <w:r>
              <w:t>November</w:t>
            </w:r>
          </w:p>
        </w:tc>
        <w:tc>
          <w:tcPr>
            <w:tcW w:w="0" w:type="auto"/>
          </w:tcPr>
          <w:p w14:paraId="6E693642" w14:textId="1630E9BB" w:rsidR="0046688B" w:rsidRDefault="008F2A63" w:rsidP="008E6DCF">
            <w:r>
              <w:t xml:space="preserve">The Provost submits a statement of endorsement, and all other accumulated materials to the Chancellor (Process B, </w:t>
            </w:r>
            <w:r w:rsidRPr="008F2A63">
              <w:rPr>
                <w:rStyle w:val="IntenseReference"/>
              </w:rPr>
              <w:fldChar w:fldCharType="begin"/>
            </w:r>
            <w:r w:rsidRPr="008F2A63">
              <w:rPr>
                <w:rStyle w:val="IntenseReference"/>
              </w:rPr>
              <w:instrText xml:space="preserve"> REF _Ref471992967 \r \h </w:instrText>
            </w:r>
            <w:r>
              <w:rPr>
                <w:rStyle w:val="IntenseReference"/>
              </w:rPr>
              <w:instrText xml:space="preserve"> \* MERGEFORMAT </w:instrText>
            </w:r>
            <w:r w:rsidRPr="008F2A63">
              <w:rPr>
                <w:rStyle w:val="IntenseReference"/>
              </w:rPr>
            </w:r>
            <w:r w:rsidRPr="008F2A63">
              <w:rPr>
                <w:rStyle w:val="IntenseReference"/>
              </w:rPr>
              <w:fldChar w:fldCharType="separate"/>
            </w:r>
            <w:r w:rsidRPr="008F2A63">
              <w:rPr>
                <w:rStyle w:val="IntenseReference"/>
              </w:rPr>
              <w:t>11</w:t>
            </w:r>
            <w:r w:rsidRPr="008F2A63">
              <w:rPr>
                <w:rStyle w:val="IntenseReference"/>
              </w:rPr>
              <w:fldChar w:fldCharType="end"/>
            </w:r>
            <w:r>
              <w:t xml:space="preserve"> and </w:t>
            </w:r>
            <w:r w:rsidRPr="008F2A63">
              <w:rPr>
                <w:rStyle w:val="IntenseReference"/>
              </w:rPr>
              <w:fldChar w:fldCharType="begin"/>
            </w:r>
            <w:r w:rsidRPr="008F2A63">
              <w:rPr>
                <w:rStyle w:val="IntenseReference"/>
              </w:rPr>
              <w:instrText xml:space="preserve"> REF _Ref471992973 \r \h </w:instrText>
            </w:r>
            <w:r>
              <w:rPr>
                <w:rStyle w:val="IntenseReference"/>
              </w:rPr>
              <w:instrText xml:space="preserve"> \* MERGEFORMAT </w:instrText>
            </w:r>
            <w:r w:rsidRPr="008F2A63">
              <w:rPr>
                <w:rStyle w:val="IntenseReference"/>
              </w:rPr>
            </w:r>
            <w:r w:rsidRPr="008F2A63">
              <w:rPr>
                <w:rStyle w:val="IntenseReference"/>
              </w:rPr>
              <w:fldChar w:fldCharType="separate"/>
            </w:r>
            <w:r w:rsidRPr="008F2A63">
              <w:rPr>
                <w:rStyle w:val="IntenseReference"/>
              </w:rPr>
              <w:t>12</w:t>
            </w:r>
            <w:r w:rsidRPr="008F2A63">
              <w:rPr>
                <w:rStyle w:val="IntenseReference"/>
              </w:rPr>
              <w:fldChar w:fldCharType="end"/>
            </w:r>
            <w:r>
              <w:t>).</w:t>
            </w:r>
          </w:p>
        </w:tc>
      </w:tr>
      <w:tr w:rsidR="0046688B" w14:paraId="4E4E7FCB" w14:textId="77777777" w:rsidTr="00016A0F">
        <w:tc>
          <w:tcPr>
            <w:tcW w:w="0" w:type="auto"/>
          </w:tcPr>
          <w:p w14:paraId="39D1DDDE" w14:textId="38E4FEDA" w:rsidR="0046688B" w:rsidRDefault="0046688B" w:rsidP="008E6DCF"/>
        </w:tc>
        <w:tc>
          <w:tcPr>
            <w:tcW w:w="0" w:type="auto"/>
          </w:tcPr>
          <w:p w14:paraId="43395940" w14:textId="7F674C3F" w:rsidR="0046688B" w:rsidRDefault="00705262" w:rsidP="008E6DCF">
            <w:r>
              <w:t>December</w:t>
            </w:r>
          </w:p>
        </w:tc>
        <w:tc>
          <w:tcPr>
            <w:tcW w:w="0" w:type="auto"/>
          </w:tcPr>
          <w:p w14:paraId="0A21D0A8" w14:textId="3191FA27" w:rsidR="0046688B" w:rsidRDefault="008F2A63" w:rsidP="001612AC">
            <w:r>
              <w:t>The recommendation, along with the Chancellor’s end</w:t>
            </w:r>
            <w:r w:rsidR="00705262">
              <w:t>orsement, it put forth for a ByL</w:t>
            </w:r>
            <w:r>
              <w:t>aw change (Process</w:t>
            </w:r>
            <w:r w:rsidR="00705262">
              <w:t xml:space="preserve"> B, </w:t>
            </w:r>
            <w:r w:rsidR="00705262" w:rsidRPr="00705262">
              <w:rPr>
                <w:rStyle w:val="IntenseReference"/>
              </w:rPr>
              <w:fldChar w:fldCharType="begin"/>
            </w:r>
            <w:r w:rsidR="00705262" w:rsidRPr="00705262">
              <w:rPr>
                <w:rStyle w:val="IntenseReference"/>
              </w:rPr>
              <w:instrText xml:space="preserve"> REF _Ref471993187 \r \h </w:instrText>
            </w:r>
            <w:r w:rsidR="00705262">
              <w:rPr>
                <w:rStyle w:val="IntenseReference"/>
              </w:rPr>
              <w:instrText xml:space="preserve"> \* MERGEFORMAT </w:instrText>
            </w:r>
            <w:r w:rsidR="00705262" w:rsidRPr="00705262">
              <w:rPr>
                <w:rStyle w:val="IntenseReference"/>
              </w:rPr>
            </w:r>
            <w:r w:rsidR="00705262" w:rsidRPr="00705262">
              <w:rPr>
                <w:rStyle w:val="IntenseReference"/>
              </w:rPr>
              <w:fldChar w:fldCharType="separate"/>
            </w:r>
            <w:r w:rsidR="00705262" w:rsidRPr="00705262">
              <w:rPr>
                <w:rStyle w:val="IntenseReference"/>
              </w:rPr>
              <w:t>14</w:t>
            </w:r>
            <w:r w:rsidR="00705262" w:rsidRPr="00705262">
              <w:rPr>
                <w:rStyle w:val="IntenseReference"/>
              </w:rPr>
              <w:fldChar w:fldCharType="end"/>
            </w:r>
            <w:r w:rsidR="00705262">
              <w:t>). After the ByLaw change is passed, the Reorganization Implementation Committee and the Provost oversee the implementation of the recommendation.</w:t>
            </w:r>
          </w:p>
        </w:tc>
      </w:tr>
    </w:tbl>
    <w:p w14:paraId="477046F3" w14:textId="77777777" w:rsidR="008E6DCF" w:rsidRPr="00501521" w:rsidRDefault="008E6DCF" w:rsidP="00CA3E11">
      <w:pPr>
        <w:rPr>
          <w:rStyle w:val="IntenseReference"/>
        </w:rPr>
      </w:pPr>
    </w:p>
    <w:sectPr w:rsidR="008E6DCF" w:rsidRPr="00501521" w:rsidSect="001600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DC21B" w14:textId="77777777" w:rsidR="0086131A" w:rsidRDefault="0086131A" w:rsidP="00DE654C">
      <w:r>
        <w:separator/>
      </w:r>
    </w:p>
  </w:endnote>
  <w:endnote w:type="continuationSeparator" w:id="0">
    <w:p w14:paraId="24B0775D" w14:textId="77777777" w:rsidR="0086131A" w:rsidRDefault="0086131A" w:rsidP="00DE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CAD8F" w14:textId="77777777" w:rsidR="0086131A" w:rsidRDefault="0086131A" w:rsidP="00DE654C">
      <w:r>
        <w:separator/>
      </w:r>
    </w:p>
  </w:footnote>
  <w:footnote w:type="continuationSeparator" w:id="0">
    <w:p w14:paraId="623EBE3D" w14:textId="77777777" w:rsidR="0086131A" w:rsidRDefault="0086131A" w:rsidP="00DE654C">
      <w:r>
        <w:continuationSeparator/>
      </w:r>
    </w:p>
  </w:footnote>
  <w:footnote w:id="1">
    <w:p w14:paraId="75000356" w14:textId="77777777" w:rsidR="001E5F96" w:rsidRDefault="001E5F96" w:rsidP="001E5F96">
      <w:pPr>
        <w:pStyle w:val="FootnoteText"/>
      </w:pPr>
      <w:r>
        <w:rPr>
          <w:rStyle w:val="FootnoteReference"/>
        </w:rPr>
        <w:footnoteRef/>
      </w:r>
      <w:r>
        <w:t xml:space="preserve"> AAUP, “Statement on Government of Colleges and Universities,” section 2c (“Internal Operations of the Institution). Accessed 11 January 2017. </w:t>
      </w:r>
      <w:hyperlink r:id="rId1" w:history="1">
        <w:r w:rsidRPr="001728CD">
          <w:rPr>
            <w:rStyle w:val="Hyperlink"/>
          </w:rPr>
          <w:t>https://www.aaup.org/report/statement-government-colleges-and-universities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5131"/>
    <w:multiLevelType w:val="multilevel"/>
    <w:tmpl w:val="1598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76C74"/>
    <w:multiLevelType w:val="multilevel"/>
    <w:tmpl w:val="ED2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F01BF"/>
    <w:multiLevelType w:val="multilevel"/>
    <w:tmpl w:val="6C0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3505B"/>
    <w:multiLevelType w:val="multilevel"/>
    <w:tmpl w:val="F35E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3D30"/>
    <w:multiLevelType w:val="multilevel"/>
    <w:tmpl w:val="1080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C6C0B"/>
    <w:multiLevelType w:val="multilevel"/>
    <w:tmpl w:val="428E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1797B"/>
    <w:multiLevelType w:val="multilevel"/>
    <w:tmpl w:val="6E8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93B9C"/>
    <w:multiLevelType w:val="hybridMultilevel"/>
    <w:tmpl w:val="13E6C0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E58EC"/>
    <w:multiLevelType w:val="multilevel"/>
    <w:tmpl w:val="1D00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23EA4"/>
    <w:multiLevelType w:val="multilevel"/>
    <w:tmpl w:val="9B4A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61F4E"/>
    <w:multiLevelType w:val="multilevel"/>
    <w:tmpl w:val="645C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36C70"/>
    <w:multiLevelType w:val="multilevel"/>
    <w:tmpl w:val="BF54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E4685"/>
    <w:multiLevelType w:val="multilevel"/>
    <w:tmpl w:val="6434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E389D"/>
    <w:multiLevelType w:val="multilevel"/>
    <w:tmpl w:val="459A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4450C"/>
    <w:multiLevelType w:val="multilevel"/>
    <w:tmpl w:val="251A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211A5"/>
    <w:multiLevelType w:val="hybridMultilevel"/>
    <w:tmpl w:val="E7CE8C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C0DF0"/>
    <w:multiLevelType w:val="multilevel"/>
    <w:tmpl w:val="A6C4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94451"/>
    <w:multiLevelType w:val="hybridMultilevel"/>
    <w:tmpl w:val="157A6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918B5"/>
    <w:multiLevelType w:val="multilevel"/>
    <w:tmpl w:val="F6C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03E3A"/>
    <w:multiLevelType w:val="multilevel"/>
    <w:tmpl w:val="CC72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77238"/>
    <w:multiLevelType w:val="multilevel"/>
    <w:tmpl w:val="5A2A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B7CB9"/>
    <w:multiLevelType w:val="multilevel"/>
    <w:tmpl w:val="4E10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23884"/>
    <w:multiLevelType w:val="multilevel"/>
    <w:tmpl w:val="997E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017664"/>
    <w:multiLevelType w:val="multilevel"/>
    <w:tmpl w:val="5ACA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B689B"/>
    <w:multiLevelType w:val="multilevel"/>
    <w:tmpl w:val="9CAA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9"/>
  </w:num>
  <w:num w:numId="4">
    <w:abstractNumId w:val="5"/>
  </w:num>
  <w:num w:numId="5">
    <w:abstractNumId w:val="1"/>
  </w:num>
  <w:num w:numId="6">
    <w:abstractNumId w:val="13"/>
  </w:num>
  <w:num w:numId="7">
    <w:abstractNumId w:val="2"/>
  </w:num>
  <w:num w:numId="8">
    <w:abstractNumId w:val="6"/>
  </w:num>
  <w:num w:numId="9">
    <w:abstractNumId w:val="12"/>
  </w:num>
  <w:num w:numId="10">
    <w:abstractNumId w:val="23"/>
  </w:num>
  <w:num w:numId="11">
    <w:abstractNumId w:val="4"/>
  </w:num>
  <w:num w:numId="12">
    <w:abstractNumId w:val="10"/>
  </w:num>
  <w:num w:numId="13">
    <w:abstractNumId w:val="24"/>
  </w:num>
  <w:num w:numId="14">
    <w:abstractNumId w:val="18"/>
  </w:num>
  <w:num w:numId="15">
    <w:abstractNumId w:val="0"/>
  </w:num>
  <w:num w:numId="16">
    <w:abstractNumId w:val="21"/>
  </w:num>
  <w:num w:numId="17">
    <w:abstractNumId w:val="16"/>
  </w:num>
  <w:num w:numId="18">
    <w:abstractNumId w:val="14"/>
  </w:num>
  <w:num w:numId="19">
    <w:abstractNumId w:val="11"/>
  </w:num>
  <w:num w:numId="20">
    <w:abstractNumId w:val="8"/>
  </w:num>
  <w:num w:numId="21">
    <w:abstractNumId w:val="3"/>
  </w:num>
  <w:num w:numId="22">
    <w:abstractNumId w:val="19"/>
  </w:num>
  <w:num w:numId="23">
    <w:abstractNumId w:val="17"/>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040D4"/>
    <w:rsid w:val="00016A0F"/>
    <w:rsid w:val="00070813"/>
    <w:rsid w:val="00081D79"/>
    <w:rsid w:val="000B5E81"/>
    <w:rsid w:val="000D63F7"/>
    <w:rsid w:val="000E4C09"/>
    <w:rsid w:val="000F2CD2"/>
    <w:rsid w:val="0011042D"/>
    <w:rsid w:val="001168A9"/>
    <w:rsid w:val="001600BA"/>
    <w:rsid w:val="001612AC"/>
    <w:rsid w:val="0017517F"/>
    <w:rsid w:val="001E5F96"/>
    <w:rsid w:val="00221E0A"/>
    <w:rsid w:val="00275E8B"/>
    <w:rsid w:val="002860D9"/>
    <w:rsid w:val="00286185"/>
    <w:rsid w:val="002A4F4E"/>
    <w:rsid w:val="002C7C16"/>
    <w:rsid w:val="00326B01"/>
    <w:rsid w:val="00337EB1"/>
    <w:rsid w:val="0036716C"/>
    <w:rsid w:val="00367FE5"/>
    <w:rsid w:val="0038522B"/>
    <w:rsid w:val="003A3BE9"/>
    <w:rsid w:val="0043040D"/>
    <w:rsid w:val="00445C8E"/>
    <w:rsid w:val="0046688B"/>
    <w:rsid w:val="004968A0"/>
    <w:rsid w:val="004B49C9"/>
    <w:rsid w:val="00501521"/>
    <w:rsid w:val="00541031"/>
    <w:rsid w:val="005D6C44"/>
    <w:rsid w:val="00615647"/>
    <w:rsid w:val="00634D8D"/>
    <w:rsid w:val="00653021"/>
    <w:rsid w:val="006878C4"/>
    <w:rsid w:val="006D4488"/>
    <w:rsid w:val="00705262"/>
    <w:rsid w:val="00724137"/>
    <w:rsid w:val="00763D1B"/>
    <w:rsid w:val="00823283"/>
    <w:rsid w:val="00823F74"/>
    <w:rsid w:val="0086131A"/>
    <w:rsid w:val="00864430"/>
    <w:rsid w:val="008B0A62"/>
    <w:rsid w:val="008D27A9"/>
    <w:rsid w:val="008D3345"/>
    <w:rsid w:val="008E6DCF"/>
    <w:rsid w:val="008F2A63"/>
    <w:rsid w:val="00900964"/>
    <w:rsid w:val="009335B1"/>
    <w:rsid w:val="00934A42"/>
    <w:rsid w:val="00934B3A"/>
    <w:rsid w:val="00977747"/>
    <w:rsid w:val="009C57AC"/>
    <w:rsid w:val="009D0C8A"/>
    <w:rsid w:val="00A55E2D"/>
    <w:rsid w:val="00AC1DF9"/>
    <w:rsid w:val="00AC48E9"/>
    <w:rsid w:val="00B16DEB"/>
    <w:rsid w:val="00B47406"/>
    <w:rsid w:val="00B719B1"/>
    <w:rsid w:val="00C113DE"/>
    <w:rsid w:val="00C35D6D"/>
    <w:rsid w:val="00C537C5"/>
    <w:rsid w:val="00C5572E"/>
    <w:rsid w:val="00CA3E11"/>
    <w:rsid w:val="00CD0A8A"/>
    <w:rsid w:val="00D05600"/>
    <w:rsid w:val="00D13BFD"/>
    <w:rsid w:val="00D3755F"/>
    <w:rsid w:val="00D41D9F"/>
    <w:rsid w:val="00DC5D2F"/>
    <w:rsid w:val="00DE654C"/>
    <w:rsid w:val="00E669A5"/>
    <w:rsid w:val="00E728D1"/>
    <w:rsid w:val="00E844F7"/>
    <w:rsid w:val="00E9215C"/>
    <w:rsid w:val="00E933A4"/>
    <w:rsid w:val="00EA6EA7"/>
    <w:rsid w:val="00F0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CEE1C"/>
  <w14:defaultImageDpi w14:val="300"/>
  <w15:docId w15:val="{E1BA0F52-E1E1-4AC5-B044-3FC664A6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D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E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E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3E1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3E11"/>
    <w:rPr>
      <w:color w:val="5A5A5A" w:themeColor="text1" w:themeTint="A5"/>
      <w:spacing w:val="15"/>
      <w:sz w:val="22"/>
      <w:szCs w:val="22"/>
    </w:rPr>
  </w:style>
  <w:style w:type="paragraph" w:styleId="ListParagraph">
    <w:name w:val="List Paragraph"/>
    <w:basedOn w:val="Normal"/>
    <w:uiPriority w:val="34"/>
    <w:qFormat/>
    <w:rsid w:val="00CA3E11"/>
    <w:pPr>
      <w:ind w:left="720"/>
      <w:contextualSpacing/>
    </w:pPr>
  </w:style>
  <w:style w:type="character" w:styleId="CommentReference">
    <w:name w:val="annotation reference"/>
    <w:basedOn w:val="DefaultParagraphFont"/>
    <w:uiPriority w:val="99"/>
    <w:semiHidden/>
    <w:unhideWhenUsed/>
    <w:rsid w:val="00CA3E11"/>
    <w:rPr>
      <w:sz w:val="16"/>
      <w:szCs w:val="16"/>
    </w:rPr>
  </w:style>
  <w:style w:type="paragraph" w:styleId="CommentText">
    <w:name w:val="annotation text"/>
    <w:basedOn w:val="Normal"/>
    <w:link w:val="CommentTextChar"/>
    <w:uiPriority w:val="99"/>
    <w:semiHidden/>
    <w:unhideWhenUsed/>
    <w:rsid w:val="00CA3E11"/>
    <w:rPr>
      <w:sz w:val="20"/>
      <w:szCs w:val="20"/>
    </w:rPr>
  </w:style>
  <w:style w:type="character" w:customStyle="1" w:styleId="CommentTextChar">
    <w:name w:val="Comment Text Char"/>
    <w:basedOn w:val="DefaultParagraphFont"/>
    <w:link w:val="CommentText"/>
    <w:uiPriority w:val="99"/>
    <w:semiHidden/>
    <w:rsid w:val="00CA3E11"/>
    <w:rPr>
      <w:sz w:val="20"/>
      <w:szCs w:val="20"/>
    </w:rPr>
  </w:style>
  <w:style w:type="paragraph" w:styleId="CommentSubject">
    <w:name w:val="annotation subject"/>
    <w:basedOn w:val="CommentText"/>
    <w:next w:val="CommentText"/>
    <w:link w:val="CommentSubjectChar"/>
    <w:uiPriority w:val="99"/>
    <w:semiHidden/>
    <w:unhideWhenUsed/>
    <w:rsid w:val="00CA3E11"/>
    <w:rPr>
      <w:b/>
      <w:bCs/>
    </w:rPr>
  </w:style>
  <w:style w:type="character" w:customStyle="1" w:styleId="CommentSubjectChar">
    <w:name w:val="Comment Subject Char"/>
    <w:basedOn w:val="CommentTextChar"/>
    <w:link w:val="CommentSubject"/>
    <w:uiPriority w:val="99"/>
    <w:semiHidden/>
    <w:rsid w:val="00CA3E11"/>
    <w:rPr>
      <w:b/>
      <w:bCs/>
      <w:sz w:val="20"/>
      <w:szCs w:val="20"/>
    </w:rPr>
  </w:style>
  <w:style w:type="paragraph" w:styleId="BalloonText">
    <w:name w:val="Balloon Text"/>
    <w:basedOn w:val="Normal"/>
    <w:link w:val="BalloonTextChar"/>
    <w:uiPriority w:val="99"/>
    <w:semiHidden/>
    <w:unhideWhenUsed/>
    <w:rsid w:val="00CA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11"/>
    <w:rPr>
      <w:rFonts w:ascii="Segoe UI" w:hAnsi="Segoe UI" w:cs="Segoe UI"/>
      <w:sz w:val="18"/>
      <w:szCs w:val="18"/>
    </w:rPr>
  </w:style>
  <w:style w:type="character" w:styleId="Hyperlink">
    <w:name w:val="Hyperlink"/>
    <w:basedOn w:val="DefaultParagraphFont"/>
    <w:uiPriority w:val="99"/>
    <w:unhideWhenUsed/>
    <w:rsid w:val="00CA3E11"/>
    <w:rPr>
      <w:color w:val="0000FF" w:themeColor="hyperlink"/>
      <w:u w:val="single"/>
    </w:rPr>
  </w:style>
  <w:style w:type="character" w:styleId="Strong">
    <w:name w:val="Strong"/>
    <w:basedOn w:val="DefaultParagraphFont"/>
    <w:uiPriority w:val="22"/>
    <w:qFormat/>
    <w:rsid w:val="00367FE5"/>
    <w:rPr>
      <w:b/>
      <w:bCs/>
    </w:rPr>
  </w:style>
  <w:style w:type="paragraph" w:styleId="FootnoteText">
    <w:name w:val="footnote text"/>
    <w:basedOn w:val="Normal"/>
    <w:link w:val="FootnoteTextChar"/>
    <w:uiPriority w:val="99"/>
    <w:semiHidden/>
    <w:unhideWhenUsed/>
    <w:rsid w:val="00DE654C"/>
    <w:rPr>
      <w:sz w:val="20"/>
      <w:szCs w:val="20"/>
    </w:rPr>
  </w:style>
  <w:style w:type="character" w:customStyle="1" w:styleId="FootnoteTextChar">
    <w:name w:val="Footnote Text Char"/>
    <w:basedOn w:val="DefaultParagraphFont"/>
    <w:link w:val="FootnoteText"/>
    <w:uiPriority w:val="99"/>
    <w:semiHidden/>
    <w:rsid w:val="00DE654C"/>
    <w:rPr>
      <w:sz w:val="20"/>
      <w:szCs w:val="20"/>
    </w:rPr>
  </w:style>
  <w:style w:type="character" w:styleId="FootnoteReference">
    <w:name w:val="footnote reference"/>
    <w:basedOn w:val="DefaultParagraphFont"/>
    <w:uiPriority w:val="99"/>
    <w:semiHidden/>
    <w:unhideWhenUsed/>
    <w:rsid w:val="00DE654C"/>
    <w:rPr>
      <w:vertAlign w:val="superscript"/>
    </w:rPr>
  </w:style>
  <w:style w:type="paragraph" w:styleId="EndnoteText">
    <w:name w:val="endnote text"/>
    <w:basedOn w:val="Normal"/>
    <w:link w:val="EndnoteTextChar"/>
    <w:uiPriority w:val="99"/>
    <w:semiHidden/>
    <w:unhideWhenUsed/>
    <w:rsid w:val="009D0C8A"/>
    <w:rPr>
      <w:sz w:val="20"/>
      <w:szCs w:val="20"/>
    </w:rPr>
  </w:style>
  <w:style w:type="character" w:customStyle="1" w:styleId="EndnoteTextChar">
    <w:name w:val="Endnote Text Char"/>
    <w:basedOn w:val="DefaultParagraphFont"/>
    <w:link w:val="EndnoteText"/>
    <w:uiPriority w:val="99"/>
    <w:semiHidden/>
    <w:rsid w:val="009D0C8A"/>
    <w:rPr>
      <w:sz w:val="20"/>
      <w:szCs w:val="20"/>
    </w:rPr>
  </w:style>
  <w:style w:type="character" w:styleId="EndnoteReference">
    <w:name w:val="endnote reference"/>
    <w:basedOn w:val="DefaultParagraphFont"/>
    <w:uiPriority w:val="99"/>
    <w:semiHidden/>
    <w:unhideWhenUsed/>
    <w:rsid w:val="009D0C8A"/>
    <w:rPr>
      <w:vertAlign w:val="superscript"/>
    </w:rPr>
  </w:style>
  <w:style w:type="character" w:styleId="SubtleEmphasis">
    <w:name w:val="Subtle Emphasis"/>
    <w:basedOn w:val="DefaultParagraphFont"/>
    <w:uiPriority w:val="19"/>
    <w:qFormat/>
    <w:rsid w:val="009D0C8A"/>
    <w:rPr>
      <w:i/>
      <w:iCs/>
      <w:color w:val="404040" w:themeColor="text1" w:themeTint="BF"/>
    </w:rPr>
  </w:style>
  <w:style w:type="character" w:styleId="SubtleReference">
    <w:name w:val="Subtle Reference"/>
    <w:basedOn w:val="DefaultParagraphFont"/>
    <w:uiPriority w:val="31"/>
    <w:qFormat/>
    <w:rsid w:val="00D41D9F"/>
    <w:rPr>
      <w:smallCaps/>
      <w:color w:val="5A5A5A" w:themeColor="text1" w:themeTint="A5"/>
    </w:rPr>
  </w:style>
  <w:style w:type="character" w:customStyle="1" w:styleId="Heading1Char">
    <w:name w:val="Heading 1 Char"/>
    <w:basedOn w:val="DefaultParagraphFont"/>
    <w:link w:val="Heading1"/>
    <w:uiPriority w:val="9"/>
    <w:rsid w:val="008E6DCF"/>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501521"/>
    <w:rPr>
      <w:b/>
      <w:bCs/>
      <w:smallCaps/>
      <w:color w:val="4F81BD" w:themeColor="accent1"/>
      <w:spacing w:val="5"/>
      <w:u w:val="single"/>
    </w:rPr>
  </w:style>
  <w:style w:type="table" w:styleId="TableGrid">
    <w:name w:val="Table Grid"/>
    <w:basedOn w:val="TableNormal"/>
    <w:uiPriority w:val="59"/>
    <w:rsid w:val="00501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6629">
      <w:bodyDiv w:val="1"/>
      <w:marLeft w:val="0"/>
      <w:marRight w:val="0"/>
      <w:marTop w:val="0"/>
      <w:marBottom w:val="0"/>
      <w:divBdr>
        <w:top w:val="none" w:sz="0" w:space="0" w:color="auto"/>
        <w:left w:val="none" w:sz="0" w:space="0" w:color="auto"/>
        <w:bottom w:val="none" w:sz="0" w:space="0" w:color="auto"/>
        <w:right w:val="none" w:sz="0" w:space="0" w:color="auto"/>
      </w:divBdr>
      <w:divsChild>
        <w:div w:id="1852915561">
          <w:marLeft w:val="0"/>
          <w:marRight w:val="0"/>
          <w:marTop w:val="0"/>
          <w:marBottom w:val="0"/>
          <w:divBdr>
            <w:top w:val="none" w:sz="0" w:space="0" w:color="auto"/>
            <w:left w:val="none" w:sz="0" w:space="0" w:color="auto"/>
            <w:bottom w:val="none" w:sz="0" w:space="0" w:color="auto"/>
            <w:right w:val="none" w:sz="0" w:space="0" w:color="auto"/>
          </w:divBdr>
        </w:div>
        <w:div w:id="308897610">
          <w:marLeft w:val="0"/>
          <w:marRight w:val="0"/>
          <w:marTop w:val="0"/>
          <w:marBottom w:val="0"/>
          <w:divBdr>
            <w:top w:val="none" w:sz="0" w:space="0" w:color="auto"/>
            <w:left w:val="none" w:sz="0" w:space="0" w:color="auto"/>
            <w:bottom w:val="none" w:sz="0" w:space="0" w:color="auto"/>
            <w:right w:val="none" w:sz="0" w:space="0" w:color="auto"/>
          </w:divBdr>
        </w:div>
        <w:div w:id="210190504">
          <w:marLeft w:val="0"/>
          <w:marRight w:val="0"/>
          <w:marTop w:val="0"/>
          <w:marBottom w:val="0"/>
          <w:divBdr>
            <w:top w:val="none" w:sz="0" w:space="0" w:color="auto"/>
            <w:left w:val="none" w:sz="0" w:space="0" w:color="auto"/>
            <w:bottom w:val="none" w:sz="0" w:space="0" w:color="auto"/>
            <w:right w:val="none" w:sz="0" w:space="0" w:color="auto"/>
          </w:divBdr>
        </w:div>
        <w:div w:id="1769306551">
          <w:marLeft w:val="0"/>
          <w:marRight w:val="0"/>
          <w:marTop w:val="0"/>
          <w:marBottom w:val="0"/>
          <w:divBdr>
            <w:top w:val="none" w:sz="0" w:space="0" w:color="auto"/>
            <w:left w:val="none" w:sz="0" w:space="0" w:color="auto"/>
            <w:bottom w:val="none" w:sz="0" w:space="0" w:color="auto"/>
            <w:right w:val="none" w:sz="0" w:space="0" w:color="auto"/>
          </w:divBdr>
        </w:div>
        <w:div w:id="461195140">
          <w:marLeft w:val="0"/>
          <w:marRight w:val="0"/>
          <w:marTop w:val="0"/>
          <w:marBottom w:val="0"/>
          <w:divBdr>
            <w:top w:val="none" w:sz="0" w:space="0" w:color="auto"/>
            <w:left w:val="none" w:sz="0" w:space="0" w:color="auto"/>
            <w:bottom w:val="none" w:sz="0" w:space="0" w:color="auto"/>
            <w:right w:val="none" w:sz="0" w:space="0" w:color="auto"/>
          </w:divBdr>
        </w:div>
        <w:div w:id="637032377">
          <w:marLeft w:val="0"/>
          <w:marRight w:val="0"/>
          <w:marTop w:val="0"/>
          <w:marBottom w:val="0"/>
          <w:divBdr>
            <w:top w:val="none" w:sz="0" w:space="0" w:color="auto"/>
            <w:left w:val="none" w:sz="0" w:space="0" w:color="auto"/>
            <w:bottom w:val="none" w:sz="0" w:space="0" w:color="auto"/>
            <w:right w:val="none" w:sz="0" w:space="0" w:color="auto"/>
          </w:divBdr>
        </w:div>
        <w:div w:id="1115758281">
          <w:marLeft w:val="0"/>
          <w:marRight w:val="0"/>
          <w:marTop w:val="0"/>
          <w:marBottom w:val="0"/>
          <w:divBdr>
            <w:top w:val="none" w:sz="0" w:space="0" w:color="auto"/>
            <w:left w:val="none" w:sz="0" w:space="0" w:color="auto"/>
            <w:bottom w:val="none" w:sz="0" w:space="0" w:color="auto"/>
            <w:right w:val="none" w:sz="0" w:space="0" w:color="auto"/>
          </w:divBdr>
        </w:div>
        <w:div w:id="602541462">
          <w:marLeft w:val="0"/>
          <w:marRight w:val="0"/>
          <w:marTop w:val="0"/>
          <w:marBottom w:val="0"/>
          <w:divBdr>
            <w:top w:val="none" w:sz="0" w:space="0" w:color="auto"/>
            <w:left w:val="none" w:sz="0" w:space="0" w:color="auto"/>
            <w:bottom w:val="none" w:sz="0" w:space="0" w:color="auto"/>
            <w:right w:val="none" w:sz="0" w:space="0" w:color="auto"/>
          </w:divBdr>
        </w:div>
        <w:div w:id="475337823">
          <w:marLeft w:val="0"/>
          <w:marRight w:val="0"/>
          <w:marTop w:val="0"/>
          <w:marBottom w:val="0"/>
          <w:divBdr>
            <w:top w:val="none" w:sz="0" w:space="0" w:color="auto"/>
            <w:left w:val="none" w:sz="0" w:space="0" w:color="auto"/>
            <w:bottom w:val="none" w:sz="0" w:space="0" w:color="auto"/>
            <w:right w:val="none" w:sz="0" w:space="0" w:color="auto"/>
          </w:divBdr>
        </w:div>
        <w:div w:id="182790984">
          <w:marLeft w:val="0"/>
          <w:marRight w:val="0"/>
          <w:marTop w:val="0"/>
          <w:marBottom w:val="0"/>
          <w:divBdr>
            <w:top w:val="none" w:sz="0" w:space="0" w:color="auto"/>
            <w:left w:val="none" w:sz="0" w:space="0" w:color="auto"/>
            <w:bottom w:val="none" w:sz="0" w:space="0" w:color="auto"/>
            <w:right w:val="none" w:sz="0" w:space="0" w:color="auto"/>
          </w:divBdr>
        </w:div>
        <w:div w:id="898442597">
          <w:marLeft w:val="0"/>
          <w:marRight w:val="0"/>
          <w:marTop w:val="0"/>
          <w:marBottom w:val="0"/>
          <w:divBdr>
            <w:top w:val="none" w:sz="0" w:space="0" w:color="auto"/>
            <w:left w:val="none" w:sz="0" w:space="0" w:color="auto"/>
            <w:bottom w:val="none" w:sz="0" w:space="0" w:color="auto"/>
            <w:right w:val="none" w:sz="0" w:space="0" w:color="auto"/>
          </w:divBdr>
        </w:div>
        <w:div w:id="1638948590">
          <w:marLeft w:val="0"/>
          <w:marRight w:val="0"/>
          <w:marTop w:val="0"/>
          <w:marBottom w:val="0"/>
          <w:divBdr>
            <w:top w:val="none" w:sz="0" w:space="0" w:color="auto"/>
            <w:left w:val="none" w:sz="0" w:space="0" w:color="auto"/>
            <w:bottom w:val="none" w:sz="0" w:space="0" w:color="auto"/>
            <w:right w:val="none" w:sz="0" w:space="0" w:color="auto"/>
          </w:divBdr>
        </w:div>
        <w:div w:id="740172947">
          <w:marLeft w:val="0"/>
          <w:marRight w:val="0"/>
          <w:marTop w:val="0"/>
          <w:marBottom w:val="0"/>
          <w:divBdr>
            <w:top w:val="none" w:sz="0" w:space="0" w:color="auto"/>
            <w:left w:val="none" w:sz="0" w:space="0" w:color="auto"/>
            <w:bottom w:val="none" w:sz="0" w:space="0" w:color="auto"/>
            <w:right w:val="none" w:sz="0" w:space="0" w:color="auto"/>
          </w:divBdr>
        </w:div>
        <w:div w:id="1527140374">
          <w:marLeft w:val="0"/>
          <w:marRight w:val="0"/>
          <w:marTop w:val="0"/>
          <w:marBottom w:val="0"/>
          <w:divBdr>
            <w:top w:val="none" w:sz="0" w:space="0" w:color="auto"/>
            <w:left w:val="none" w:sz="0" w:space="0" w:color="auto"/>
            <w:bottom w:val="none" w:sz="0" w:space="0" w:color="auto"/>
            <w:right w:val="none" w:sz="0" w:space="0" w:color="auto"/>
          </w:divBdr>
        </w:div>
        <w:div w:id="2040548740">
          <w:marLeft w:val="0"/>
          <w:marRight w:val="0"/>
          <w:marTop w:val="0"/>
          <w:marBottom w:val="0"/>
          <w:divBdr>
            <w:top w:val="none" w:sz="0" w:space="0" w:color="auto"/>
            <w:left w:val="none" w:sz="0" w:space="0" w:color="auto"/>
            <w:bottom w:val="none" w:sz="0" w:space="0" w:color="auto"/>
            <w:right w:val="none" w:sz="0" w:space="0" w:color="auto"/>
          </w:divBdr>
        </w:div>
        <w:div w:id="1351879992">
          <w:marLeft w:val="0"/>
          <w:marRight w:val="0"/>
          <w:marTop w:val="0"/>
          <w:marBottom w:val="0"/>
          <w:divBdr>
            <w:top w:val="none" w:sz="0" w:space="0" w:color="auto"/>
            <w:left w:val="none" w:sz="0" w:space="0" w:color="auto"/>
            <w:bottom w:val="none" w:sz="0" w:space="0" w:color="auto"/>
            <w:right w:val="none" w:sz="0" w:space="0" w:color="auto"/>
          </w:divBdr>
        </w:div>
        <w:div w:id="1611086236">
          <w:marLeft w:val="0"/>
          <w:marRight w:val="0"/>
          <w:marTop w:val="0"/>
          <w:marBottom w:val="0"/>
          <w:divBdr>
            <w:top w:val="none" w:sz="0" w:space="0" w:color="auto"/>
            <w:left w:val="none" w:sz="0" w:space="0" w:color="auto"/>
            <w:bottom w:val="none" w:sz="0" w:space="0" w:color="auto"/>
            <w:right w:val="none" w:sz="0" w:space="0" w:color="auto"/>
          </w:divBdr>
        </w:div>
        <w:div w:id="94056926">
          <w:marLeft w:val="0"/>
          <w:marRight w:val="0"/>
          <w:marTop w:val="0"/>
          <w:marBottom w:val="0"/>
          <w:divBdr>
            <w:top w:val="none" w:sz="0" w:space="0" w:color="auto"/>
            <w:left w:val="none" w:sz="0" w:space="0" w:color="auto"/>
            <w:bottom w:val="none" w:sz="0" w:space="0" w:color="auto"/>
            <w:right w:val="none" w:sz="0" w:space="0" w:color="auto"/>
          </w:divBdr>
        </w:div>
        <w:div w:id="22757691">
          <w:marLeft w:val="0"/>
          <w:marRight w:val="0"/>
          <w:marTop w:val="0"/>
          <w:marBottom w:val="0"/>
          <w:divBdr>
            <w:top w:val="none" w:sz="0" w:space="0" w:color="auto"/>
            <w:left w:val="none" w:sz="0" w:space="0" w:color="auto"/>
            <w:bottom w:val="none" w:sz="0" w:space="0" w:color="auto"/>
            <w:right w:val="none" w:sz="0" w:space="0" w:color="auto"/>
          </w:divBdr>
        </w:div>
        <w:div w:id="638075152">
          <w:marLeft w:val="0"/>
          <w:marRight w:val="0"/>
          <w:marTop w:val="0"/>
          <w:marBottom w:val="0"/>
          <w:divBdr>
            <w:top w:val="none" w:sz="0" w:space="0" w:color="auto"/>
            <w:left w:val="none" w:sz="0" w:space="0" w:color="auto"/>
            <w:bottom w:val="none" w:sz="0" w:space="0" w:color="auto"/>
            <w:right w:val="none" w:sz="0" w:space="0" w:color="auto"/>
          </w:divBdr>
        </w:div>
        <w:div w:id="694382171">
          <w:marLeft w:val="0"/>
          <w:marRight w:val="0"/>
          <w:marTop w:val="0"/>
          <w:marBottom w:val="0"/>
          <w:divBdr>
            <w:top w:val="none" w:sz="0" w:space="0" w:color="auto"/>
            <w:left w:val="none" w:sz="0" w:space="0" w:color="auto"/>
            <w:bottom w:val="none" w:sz="0" w:space="0" w:color="auto"/>
            <w:right w:val="none" w:sz="0" w:space="0" w:color="auto"/>
          </w:divBdr>
        </w:div>
        <w:div w:id="545724501">
          <w:marLeft w:val="0"/>
          <w:marRight w:val="0"/>
          <w:marTop w:val="0"/>
          <w:marBottom w:val="0"/>
          <w:divBdr>
            <w:top w:val="none" w:sz="0" w:space="0" w:color="auto"/>
            <w:left w:val="none" w:sz="0" w:space="0" w:color="auto"/>
            <w:bottom w:val="none" w:sz="0" w:space="0" w:color="auto"/>
            <w:right w:val="none" w:sz="0" w:space="0" w:color="auto"/>
          </w:divBdr>
        </w:div>
      </w:divsChild>
    </w:div>
    <w:div w:id="666830396">
      <w:bodyDiv w:val="1"/>
      <w:marLeft w:val="0"/>
      <w:marRight w:val="0"/>
      <w:marTop w:val="0"/>
      <w:marBottom w:val="0"/>
      <w:divBdr>
        <w:top w:val="none" w:sz="0" w:space="0" w:color="auto"/>
        <w:left w:val="none" w:sz="0" w:space="0" w:color="auto"/>
        <w:bottom w:val="none" w:sz="0" w:space="0" w:color="auto"/>
        <w:right w:val="none" w:sz="0" w:space="0" w:color="auto"/>
      </w:divBdr>
      <w:divsChild>
        <w:div w:id="1139688705">
          <w:marLeft w:val="0"/>
          <w:marRight w:val="0"/>
          <w:marTop w:val="0"/>
          <w:marBottom w:val="0"/>
          <w:divBdr>
            <w:top w:val="none" w:sz="0" w:space="0" w:color="auto"/>
            <w:left w:val="none" w:sz="0" w:space="0" w:color="auto"/>
            <w:bottom w:val="none" w:sz="0" w:space="0" w:color="auto"/>
            <w:right w:val="none" w:sz="0" w:space="0" w:color="auto"/>
          </w:divBdr>
        </w:div>
        <w:div w:id="1496140746">
          <w:marLeft w:val="0"/>
          <w:marRight w:val="0"/>
          <w:marTop w:val="0"/>
          <w:marBottom w:val="0"/>
          <w:divBdr>
            <w:top w:val="none" w:sz="0" w:space="0" w:color="auto"/>
            <w:left w:val="none" w:sz="0" w:space="0" w:color="auto"/>
            <w:bottom w:val="none" w:sz="0" w:space="0" w:color="auto"/>
            <w:right w:val="none" w:sz="0" w:space="0" w:color="auto"/>
          </w:divBdr>
        </w:div>
        <w:div w:id="426116947">
          <w:marLeft w:val="0"/>
          <w:marRight w:val="0"/>
          <w:marTop w:val="0"/>
          <w:marBottom w:val="0"/>
          <w:divBdr>
            <w:top w:val="none" w:sz="0" w:space="0" w:color="auto"/>
            <w:left w:val="none" w:sz="0" w:space="0" w:color="auto"/>
            <w:bottom w:val="none" w:sz="0" w:space="0" w:color="auto"/>
            <w:right w:val="none" w:sz="0" w:space="0" w:color="auto"/>
          </w:divBdr>
        </w:div>
        <w:div w:id="138227850">
          <w:marLeft w:val="0"/>
          <w:marRight w:val="0"/>
          <w:marTop w:val="0"/>
          <w:marBottom w:val="0"/>
          <w:divBdr>
            <w:top w:val="none" w:sz="0" w:space="0" w:color="auto"/>
            <w:left w:val="none" w:sz="0" w:space="0" w:color="auto"/>
            <w:bottom w:val="none" w:sz="0" w:space="0" w:color="auto"/>
            <w:right w:val="none" w:sz="0" w:space="0" w:color="auto"/>
          </w:divBdr>
        </w:div>
        <w:div w:id="1201623856">
          <w:marLeft w:val="0"/>
          <w:marRight w:val="0"/>
          <w:marTop w:val="0"/>
          <w:marBottom w:val="0"/>
          <w:divBdr>
            <w:top w:val="none" w:sz="0" w:space="0" w:color="auto"/>
            <w:left w:val="none" w:sz="0" w:space="0" w:color="auto"/>
            <w:bottom w:val="none" w:sz="0" w:space="0" w:color="auto"/>
            <w:right w:val="none" w:sz="0" w:space="0" w:color="auto"/>
          </w:divBdr>
        </w:div>
        <w:div w:id="1739668095">
          <w:marLeft w:val="0"/>
          <w:marRight w:val="0"/>
          <w:marTop w:val="0"/>
          <w:marBottom w:val="0"/>
          <w:divBdr>
            <w:top w:val="none" w:sz="0" w:space="0" w:color="auto"/>
            <w:left w:val="none" w:sz="0" w:space="0" w:color="auto"/>
            <w:bottom w:val="none" w:sz="0" w:space="0" w:color="auto"/>
            <w:right w:val="none" w:sz="0" w:space="0" w:color="auto"/>
          </w:divBdr>
        </w:div>
        <w:div w:id="1080636901">
          <w:marLeft w:val="0"/>
          <w:marRight w:val="0"/>
          <w:marTop w:val="0"/>
          <w:marBottom w:val="0"/>
          <w:divBdr>
            <w:top w:val="none" w:sz="0" w:space="0" w:color="auto"/>
            <w:left w:val="none" w:sz="0" w:space="0" w:color="auto"/>
            <w:bottom w:val="none" w:sz="0" w:space="0" w:color="auto"/>
            <w:right w:val="none" w:sz="0" w:space="0" w:color="auto"/>
          </w:divBdr>
        </w:div>
        <w:div w:id="403260195">
          <w:marLeft w:val="0"/>
          <w:marRight w:val="0"/>
          <w:marTop w:val="0"/>
          <w:marBottom w:val="0"/>
          <w:divBdr>
            <w:top w:val="none" w:sz="0" w:space="0" w:color="auto"/>
            <w:left w:val="none" w:sz="0" w:space="0" w:color="auto"/>
            <w:bottom w:val="none" w:sz="0" w:space="0" w:color="auto"/>
            <w:right w:val="none" w:sz="0" w:space="0" w:color="auto"/>
          </w:divBdr>
        </w:div>
      </w:divsChild>
    </w:div>
    <w:div w:id="1839232327">
      <w:bodyDiv w:val="1"/>
      <w:marLeft w:val="0"/>
      <w:marRight w:val="0"/>
      <w:marTop w:val="0"/>
      <w:marBottom w:val="0"/>
      <w:divBdr>
        <w:top w:val="none" w:sz="0" w:space="0" w:color="auto"/>
        <w:left w:val="none" w:sz="0" w:space="0" w:color="auto"/>
        <w:bottom w:val="none" w:sz="0" w:space="0" w:color="auto"/>
        <w:right w:val="none" w:sz="0" w:space="0" w:color="auto"/>
      </w:divBdr>
      <w:divsChild>
        <w:div w:id="951015987">
          <w:marLeft w:val="0"/>
          <w:marRight w:val="0"/>
          <w:marTop w:val="0"/>
          <w:marBottom w:val="0"/>
          <w:divBdr>
            <w:top w:val="none" w:sz="0" w:space="0" w:color="auto"/>
            <w:left w:val="none" w:sz="0" w:space="0" w:color="auto"/>
            <w:bottom w:val="none" w:sz="0" w:space="0" w:color="auto"/>
            <w:right w:val="none" w:sz="0" w:space="0" w:color="auto"/>
          </w:divBdr>
        </w:div>
        <w:div w:id="2004819232">
          <w:marLeft w:val="0"/>
          <w:marRight w:val="0"/>
          <w:marTop w:val="0"/>
          <w:marBottom w:val="0"/>
          <w:divBdr>
            <w:top w:val="none" w:sz="0" w:space="0" w:color="auto"/>
            <w:left w:val="none" w:sz="0" w:space="0" w:color="auto"/>
            <w:bottom w:val="none" w:sz="0" w:space="0" w:color="auto"/>
            <w:right w:val="none" w:sz="0" w:space="0" w:color="auto"/>
          </w:divBdr>
        </w:div>
        <w:div w:id="1821652239">
          <w:marLeft w:val="0"/>
          <w:marRight w:val="0"/>
          <w:marTop w:val="0"/>
          <w:marBottom w:val="0"/>
          <w:divBdr>
            <w:top w:val="none" w:sz="0" w:space="0" w:color="auto"/>
            <w:left w:val="none" w:sz="0" w:space="0" w:color="auto"/>
            <w:bottom w:val="none" w:sz="0" w:space="0" w:color="auto"/>
            <w:right w:val="none" w:sz="0" w:space="0" w:color="auto"/>
          </w:divBdr>
        </w:div>
        <w:div w:id="500899385">
          <w:marLeft w:val="0"/>
          <w:marRight w:val="0"/>
          <w:marTop w:val="0"/>
          <w:marBottom w:val="0"/>
          <w:divBdr>
            <w:top w:val="none" w:sz="0" w:space="0" w:color="auto"/>
            <w:left w:val="none" w:sz="0" w:space="0" w:color="auto"/>
            <w:bottom w:val="none" w:sz="0" w:space="0" w:color="auto"/>
            <w:right w:val="none" w:sz="0" w:space="0" w:color="auto"/>
          </w:divBdr>
        </w:div>
        <w:div w:id="1732654755">
          <w:marLeft w:val="0"/>
          <w:marRight w:val="0"/>
          <w:marTop w:val="0"/>
          <w:marBottom w:val="0"/>
          <w:divBdr>
            <w:top w:val="none" w:sz="0" w:space="0" w:color="auto"/>
            <w:left w:val="none" w:sz="0" w:space="0" w:color="auto"/>
            <w:bottom w:val="none" w:sz="0" w:space="0" w:color="auto"/>
            <w:right w:val="none" w:sz="0" w:space="0" w:color="auto"/>
          </w:divBdr>
        </w:div>
        <w:div w:id="1714576130">
          <w:marLeft w:val="0"/>
          <w:marRight w:val="0"/>
          <w:marTop w:val="0"/>
          <w:marBottom w:val="0"/>
          <w:divBdr>
            <w:top w:val="none" w:sz="0" w:space="0" w:color="auto"/>
            <w:left w:val="none" w:sz="0" w:space="0" w:color="auto"/>
            <w:bottom w:val="none" w:sz="0" w:space="0" w:color="auto"/>
            <w:right w:val="none" w:sz="0" w:space="0" w:color="auto"/>
          </w:divBdr>
        </w:div>
        <w:div w:id="602423142">
          <w:marLeft w:val="0"/>
          <w:marRight w:val="0"/>
          <w:marTop w:val="0"/>
          <w:marBottom w:val="0"/>
          <w:divBdr>
            <w:top w:val="none" w:sz="0" w:space="0" w:color="auto"/>
            <w:left w:val="none" w:sz="0" w:space="0" w:color="auto"/>
            <w:bottom w:val="none" w:sz="0" w:space="0" w:color="auto"/>
            <w:right w:val="none" w:sz="0" w:space="0" w:color="auto"/>
          </w:divBdr>
        </w:div>
        <w:div w:id="1661696987">
          <w:marLeft w:val="0"/>
          <w:marRight w:val="0"/>
          <w:marTop w:val="0"/>
          <w:marBottom w:val="0"/>
          <w:divBdr>
            <w:top w:val="none" w:sz="0" w:space="0" w:color="auto"/>
            <w:left w:val="none" w:sz="0" w:space="0" w:color="auto"/>
            <w:bottom w:val="none" w:sz="0" w:space="0" w:color="auto"/>
            <w:right w:val="none" w:sz="0" w:space="0" w:color="auto"/>
          </w:divBdr>
        </w:div>
        <w:div w:id="1215505858">
          <w:marLeft w:val="0"/>
          <w:marRight w:val="0"/>
          <w:marTop w:val="0"/>
          <w:marBottom w:val="0"/>
          <w:divBdr>
            <w:top w:val="none" w:sz="0" w:space="0" w:color="auto"/>
            <w:left w:val="none" w:sz="0" w:space="0" w:color="auto"/>
            <w:bottom w:val="none" w:sz="0" w:space="0" w:color="auto"/>
            <w:right w:val="none" w:sz="0" w:space="0" w:color="auto"/>
          </w:divBdr>
        </w:div>
        <w:div w:id="1822844072">
          <w:marLeft w:val="0"/>
          <w:marRight w:val="0"/>
          <w:marTop w:val="0"/>
          <w:marBottom w:val="0"/>
          <w:divBdr>
            <w:top w:val="none" w:sz="0" w:space="0" w:color="auto"/>
            <w:left w:val="none" w:sz="0" w:space="0" w:color="auto"/>
            <w:bottom w:val="none" w:sz="0" w:space="0" w:color="auto"/>
            <w:right w:val="none" w:sz="0" w:space="0" w:color="auto"/>
          </w:divBdr>
        </w:div>
        <w:div w:id="1732192715">
          <w:marLeft w:val="0"/>
          <w:marRight w:val="0"/>
          <w:marTop w:val="0"/>
          <w:marBottom w:val="0"/>
          <w:divBdr>
            <w:top w:val="none" w:sz="0" w:space="0" w:color="auto"/>
            <w:left w:val="none" w:sz="0" w:space="0" w:color="auto"/>
            <w:bottom w:val="none" w:sz="0" w:space="0" w:color="auto"/>
            <w:right w:val="none" w:sz="0" w:space="0" w:color="auto"/>
          </w:divBdr>
        </w:div>
        <w:div w:id="2006275797">
          <w:marLeft w:val="0"/>
          <w:marRight w:val="0"/>
          <w:marTop w:val="0"/>
          <w:marBottom w:val="0"/>
          <w:divBdr>
            <w:top w:val="none" w:sz="0" w:space="0" w:color="auto"/>
            <w:left w:val="none" w:sz="0" w:space="0" w:color="auto"/>
            <w:bottom w:val="none" w:sz="0" w:space="0" w:color="auto"/>
            <w:right w:val="none" w:sz="0" w:space="0" w:color="auto"/>
          </w:divBdr>
        </w:div>
        <w:div w:id="266544033">
          <w:marLeft w:val="0"/>
          <w:marRight w:val="0"/>
          <w:marTop w:val="0"/>
          <w:marBottom w:val="0"/>
          <w:divBdr>
            <w:top w:val="none" w:sz="0" w:space="0" w:color="auto"/>
            <w:left w:val="none" w:sz="0" w:space="0" w:color="auto"/>
            <w:bottom w:val="none" w:sz="0" w:space="0" w:color="auto"/>
            <w:right w:val="none" w:sz="0" w:space="0" w:color="auto"/>
          </w:divBdr>
        </w:div>
        <w:div w:id="667363379">
          <w:marLeft w:val="0"/>
          <w:marRight w:val="0"/>
          <w:marTop w:val="0"/>
          <w:marBottom w:val="0"/>
          <w:divBdr>
            <w:top w:val="none" w:sz="0" w:space="0" w:color="auto"/>
            <w:left w:val="none" w:sz="0" w:space="0" w:color="auto"/>
            <w:bottom w:val="none" w:sz="0" w:space="0" w:color="auto"/>
            <w:right w:val="none" w:sz="0" w:space="0" w:color="auto"/>
          </w:divBdr>
        </w:div>
        <w:div w:id="1524132206">
          <w:marLeft w:val="0"/>
          <w:marRight w:val="0"/>
          <w:marTop w:val="0"/>
          <w:marBottom w:val="0"/>
          <w:divBdr>
            <w:top w:val="none" w:sz="0" w:space="0" w:color="auto"/>
            <w:left w:val="none" w:sz="0" w:space="0" w:color="auto"/>
            <w:bottom w:val="none" w:sz="0" w:space="0" w:color="auto"/>
            <w:right w:val="none" w:sz="0" w:space="0" w:color="auto"/>
          </w:divBdr>
        </w:div>
        <w:div w:id="1089423085">
          <w:marLeft w:val="0"/>
          <w:marRight w:val="0"/>
          <w:marTop w:val="0"/>
          <w:marBottom w:val="0"/>
          <w:divBdr>
            <w:top w:val="none" w:sz="0" w:space="0" w:color="auto"/>
            <w:left w:val="none" w:sz="0" w:space="0" w:color="auto"/>
            <w:bottom w:val="none" w:sz="0" w:space="0" w:color="auto"/>
            <w:right w:val="none" w:sz="0" w:space="0" w:color="auto"/>
          </w:divBdr>
        </w:div>
        <w:div w:id="1572035303">
          <w:marLeft w:val="0"/>
          <w:marRight w:val="0"/>
          <w:marTop w:val="0"/>
          <w:marBottom w:val="0"/>
          <w:divBdr>
            <w:top w:val="none" w:sz="0" w:space="0" w:color="auto"/>
            <w:left w:val="none" w:sz="0" w:space="0" w:color="auto"/>
            <w:bottom w:val="none" w:sz="0" w:space="0" w:color="auto"/>
            <w:right w:val="none" w:sz="0" w:space="0" w:color="auto"/>
          </w:divBdr>
        </w:div>
        <w:div w:id="692262642">
          <w:marLeft w:val="0"/>
          <w:marRight w:val="0"/>
          <w:marTop w:val="0"/>
          <w:marBottom w:val="0"/>
          <w:divBdr>
            <w:top w:val="none" w:sz="0" w:space="0" w:color="auto"/>
            <w:left w:val="none" w:sz="0" w:space="0" w:color="auto"/>
            <w:bottom w:val="none" w:sz="0" w:space="0" w:color="auto"/>
            <w:right w:val="none" w:sz="0" w:space="0" w:color="auto"/>
          </w:divBdr>
        </w:div>
        <w:div w:id="1701081270">
          <w:marLeft w:val="0"/>
          <w:marRight w:val="0"/>
          <w:marTop w:val="0"/>
          <w:marBottom w:val="0"/>
          <w:divBdr>
            <w:top w:val="none" w:sz="0" w:space="0" w:color="auto"/>
            <w:left w:val="none" w:sz="0" w:space="0" w:color="auto"/>
            <w:bottom w:val="none" w:sz="0" w:space="0" w:color="auto"/>
            <w:right w:val="none" w:sz="0" w:space="0" w:color="auto"/>
          </w:divBdr>
        </w:div>
        <w:div w:id="467666206">
          <w:marLeft w:val="0"/>
          <w:marRight w:val="0"/>
          <w:marTop w:val="0"/>
          <w:marBottom w:val="0"/>
          <w:divBdr>
            <w:top w:val="none" w:sz="0" w:space="0" w:color="auto"/>
            <w:left w:val="none" w:sz="0" w:space="0" w:color="auto"/>
            <w:bottom w:val="none" w:sz="0" w:space="0" w:color="auto"/>
            <w:right w:val="none" w:sz="0" w:space="0" w:color="auto"/>
          </w:divBdr>
        </w:div>
        <w:div w:id="451632277">
          <w:marLeft w:val="0"/>
          <w:marRight w:val="0"/>
          <w:marTop w:val="0"/>
          <w:marBottom w:val="0"/>
          <w:divBdr>
            <w:top w:val="none" w:sz="0" w:space="0" w:color="auto"/>
            <w:left w:val="none" w:sz="0" w:space="0" w:color="auto"/>
            <w:bottom w:val="none" w:sz="0" w:space="0" w:color="auto"/>
            <w:right w:val="none" w:sz="0" w:space="0" w:color="auto"/>
          </w:divBdr>
        </w:div>
        <w:div w:id="18795901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aup.org/report/statement-government-colleges-and-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7ABD-747E-42F1-B2D6-337C16FF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6</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Salvo-Eaton, Jennifer R.</cp:lastModifiedBy>
  <cp:revision>36</cp:revision>
  <dcterms:created xsi:type="dcterms:W3CDTF">2013-02-21T00:56:00Z</dcterms:created>
  <dcterms:modified xsi:type="dcterms:W3CDTF">2017-01-17T21:09:00Z</dcterms:modified>
</cp:coreProperties>
</file>